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DB2CA" w14:textId="5E5EEB81" w:rsidR="003F1496" w:rsidRPr="003474BD" w:rsidRDefault="00D16F15" w:rsidP="00B10D8A">
      <w:pPr>
        <w:suppressAutoHyphens/>
        <w:spacing w:before="120" w:after="120" w:line="312" w:lineRule="auto"/>
        <w:jc w:val="right"/>
        <w:rPr>
          <w:b/>
          <w:snapToGrid w:val="0"/>
        </w:rPr>
      </w:pPr>
      <w:r w:rsidRPr="003474BD">
        <w:rPr>
          <w:b/>
          <w:snapToGrid w:val="0"/>
          <w:color w:val="808080" w:themeColor="background1" w:themeShade="80"/>
        </w:rPr>
        <w:t>[Работен проект</w:t>
      </w:r>
      <w:bookmarkStart w:id="0" w:name="_GoBack"/>
      <w:bookmarkEnd w:id="0"/>
      <w:r w:rsidRPr="003474BD">
        <w:rPr>
          <w:b/>
          <w:snapToGrid w:val="0"/>
          <w:color w:val="808080" w:themeColor="background1" w:themeShade="80"/>
        </w:rPr>
        <w:t>]</w:t>
      </w:r>
    </w:p>
    <w:p w14:paraId="3680AB8D" w14:textId="77777777" w:rsidR="003F1496" w:rsidRPr="003474BD" w:rsidRDefault="003F1496" w:rsidP="00A42091">
      <w:pPr>
        <w:suppressAutoHyphens/>
        <w:spacing w:before="120" w:after="120" w:line="312" w:lineRule="auto"/>
        <w:jc w:val="both"/>
        <w:rPr>
          <w:b/>
          <w:snapToGrid w:val="0"/>
        </w:rPr>
      </w:pPr>
    </w:p>
    <w:p w14:paraId="01421499" w14:textId="77777777" w:rsidR="003F1496" w:rsidRPr="003474BD" w:rsidRDefault="003F1496" w:rsidP="00A42091">
      <w:pPr>
        <w:suppressAutoHyphens/>
        <w:spacing w:before="120" w:after="120" w:line="312" w:lineRule="auto"/>
        <w:jc w:val="center"/>
        <w:rPr>
          <w:b/>
          <w:snapToGrid w:val="0"/>
        </w:rPr>
      </w:pPr>
    </w:p>
    <w:p w14:paraId="5F1CD2EC" w14:textId="77777777" w:rsidR="003F1496" w:rsidRPr="003474BD" w:rsidRDefault="003F1496" w:rsidP="00A42091">
      <w:pPr>
        <w:suppressAutoHyphens/>
        <w:spacing w:before="120" w:after="120" w:line="312" w:lineRule="auto"/>
        <w:jc w:val="center"/>
        <w:rPr>
          <w:b/>
        </w:rPr>
      </w:pPr>
      <w:r w:rsidRPr="003474BD">
        <w:rPr>
          <w:b/>
          <w:snapToGrid w:val="0"/>
        </w:rPr>
        <w:t>МИНИСТЕРСТВО НА ЕНЕРГЕТИКАТА</w:t>
      </w:r>
    </w:p>
    <w:p w14:paraId="6FD4A16B" w14:textId="77777777" w:rsidR="003F1496" w:rsidRPr="003474BD" w:rsidRDefault="003F1496" w:rsidP="00A42091">
      <w:pPr>
        <w:suppressAutoHyphens/>
        <w:spacing w:before="120" w:after="120" w:line="312" w:lineRule="auto"/>
        <w:jc w:val="center"/>
        <w:rPr>
          <w:b/>
        </w:rPr>
      </w:pPr>
    </w:p>
    <w:p w14:paraId="4B416A93" w14:textId="77777777" w:rsidR="003F1496" w:rsidRPr="003474BD" w:rsidRDefault="003F1496" w:rsidP="00A42091">
      <w:pPr>
        <w:suppressAutoHyphens/>
        <w:spacing w:before="120" w:after="120" w:line="312" w:lineRule="auto"/>
        <w:jc w:val="center"/>
        <w:rPr>
          <w:b/>
          <w:snapToGrid w:val="0"/>
        </w:rPr>
      </w:pPr>
      <w:r w:rsidRPr="003474BD">
        <w:rPr>
          <w:b/>
          <w:snapToGrid w:val="0"/>
        </w:rPr>
        <w:t>Национален план за възстановяване и устойчивост на Република България</w:t>
      </w:r>
    </w:p>
    <w:p w14:paraId="27A2680A" w14:textId="77777777" w:rsidR="003F1496" w:rsidRPr="003474BD" w:rsidRDefault="003F1496" w:rsidP="00A42091">
      <w:pPr>
        <w:suppressAutoHyphens/>
        <w:spacing w:before="120" w:after="120" w:line="312" w:lineRule="auto"/>
        <w:jc w:val="center"/>
        <w:rPr>
          <w:b/>
          <w:snapToGrid w:val="0"/>
        </w:rPr>
      </w:pPr>
    </w:p>
    <w:p w14:paraId="1C7E0AEC" w14:textId="225C0BD8" w:rsidR="003F1496" w:rsidRPr="003474BD" w:rsidRDefault="003F1496" w:rsidP="00A42091">
      <w:pPr>
        <w:suppressAutoHyphens/>
        <w:spacing w:before="120" w:after="120" w:line="312" w:lineRule="auto"/>
        <w:jc w:val="center"/>
        <w:rPr>
          <w:b/>
          <w:snapToGrid w:val="0"/>
        </w:rPr>
      </w:pPr>
      <w:r w:rsidRPr="003474BD">
        <w:rPr>
          <w:b/>
          <w:snapToGrid w:val="0"/>
        </w:rPr>
        <w:t xml:space="preserve">Компонент </w:t>
      </w:r>
      <w:r w:rsidR="00DC5756" w:rsidRPr="003474BD">
        <w:rPr>
          <w:b/>
          <w:snapToGrid w:val="0"/>
        </w:rPr>
        <w:t>"</w:t>
      </w:r>
      <w:r w:rsidRPr="003474BD">
        <w:rPr>
          <w:b/>
          <w:snapToGrid w:val="0"/>
        </w:rPr>
        <w:t>Нисковъглеродна икономика</w:t>
      </w:r>
      <w:r w:rsidR="00DC5756" w:rsidRPr="003474BD">
        <w:rPr>
          <w:b/>
          <w:snapToGrid w:val="0"/>
        </w:rPr>
        <w:t>"</w:t>
      </w:r>
    </w:p>
    <w:p w14:paraId="2A75B78F" w14:textId="77777777" w:rsidR="003F1496" w:rsidRPr="003474BD" w:rsidRDefault="003F1496" w:rsidP="00A42091">
      <w:pPr>
        <w:suppressAutoHyphens/>
        <w:spacing w:before="120" w:after="120" w:line="312" w:lineRule="auto"/>
        <w:jc w:val="center"/>
        <w:rPr>
          <w:b/>
          <w:snapToGrid w:val="0"/>
        </w:rPr>
      </w:pPr>
    </w:p>
    <w:p w14:paraId="010FA8CB" w14:textId="77777777" w:rsidR="003F1496" w:rsidRPr="003474BD" w:rsidRDefault="003F1496" w:rsidP="00A42091">
      <w:pPr>
        <w:suppressAutoHyphens/>
        <w:spacing w:before="120" w:after="120" w:line="312" w:lineRule="auto"/>
        <w:jc w:val="center"/>
        <w:rPr>
          <w:b/>
        </w:rPr>
      </w:pPr>
    </w:p>
    <w:p w14:paraId="50CB1DEE" w14:textId="607AC45C" w:rsidR="003F1496" w:rsidRPr="003474BD" w:rsidRDefault="003F1496" w:rsidP="005F0882">
      <w:pPr>
        <w:suppressAutoHyphens/>
        <w:spacing w:before="120" w:after="120" w:line="312" w:lineRule="auto"/>
        <w:jc w:val="center"/>
        <w:rPr>
          <w:b/>
        </w:rPr>
      </w:pPr>
      <w:r w:rsidRPr="003474BD">
        <w:rPr>
          <w:b/>
        </w:rPr>
        <w:t xml:space="preserve">Инвестиция </w:t>
      </w:r>
      <w:r w:rsidR="00A42091" w:rsidRPr="003474BD">
        <w:rPr>
          <w:b/>
        </w:rPr>
        <w:t>8</w:t>
      </w:r>
      <w:r w:rsidRPr="003474BD">
        <w:rPr>
          <w:b/>
        </w:rPr>
        <w:t xml:space="preserve"> (C4.I</w:t>
      </w:r>
      <w:r w:rsidR="00A42091" w:rsidRPr="003474BD">
        <w:rPr>
          <w:b/>
        </w:rPr>
        <w:t>8</w:t>
      </w:r>
      <w:r w:rsidRPr="003474BD">
        <w:rPr>
          <w:b/>
        </w:rPr>
        <w:t xml:space="preserve">): </w:t>
      </w:r>
      <w:bookmarkStart w:id="1" w:name="_Hlk165447985"/>
      <w:r w:rsidR="005F0882" w:rsidRPr="003474BD">
        <w:rPr>
          <w:b/>
        </w:rPr>
        <w:t>Национална инфраструктура за съхранение на електр</w:t>
      </w:r>
      <w:r w:rsidR="00711512" w:rsidRPr="003474BD">
        <w:rPr>
          <w:b/>
        </w:rPr>
        <w:t>оенергия</w:t>
      </w:r>
      <w:r w:rsidR="00FD50B9">
        <w:rPr>
          <w:b/>
          <w:lang w:val="en-US"/>
        </w:rPr>
        <w:t xml:space="preserve"> </w:t>
      </w:r>
      <w:r w:rsidR="00FD50B9">
        <w:rPr>
          <w:b/>
        </w:rPr>
        <w:t>от възобновяеми източници</w:t>
      </w:r>
      <w:r w:rsidR="00BD2BCE" w:rsidRPr="003474BD">
        <w:rPr>
          <w:b/>
        </w:rPr>
        <w:br/>
      </w:r>
      <w:r w:rsidR="005F0882" w:rsidRPr="003474BD">
        <w:rPr>
          <w:b/>
        </w:rPr>
        <w:t xml:space="preserve"> (RESTORE)</w:t>
      </w:r>
      <w:bookmarkEnd w:id="1"/>
    </w:p>
    <w:p w14:paraId="1B48176B" w14:textId="77777777" w:rsidR="003F1496" w:rsidRPr="003474BD" w:rsidRDefault="003F1496" w:rsidP="00A42091">
      <w:pPr>
        <w:suppressAutoHyphens/>
        <w:spacing w:before="120" w:after="120" w:line="312" w:lineRule="auto"/>
        <w:jc w:val="center"/>
        <w:rPr>
          <w:b/>
        </w:rPr>
      </w:pPr>
    </w:p>
    <w:p w14:paraId="37B72EA6" w14:textId="77777777" w:rsidR="003F1496" w:rsidRPr="003474BD" w:rsidRDefault="003F1496" w:rsidP="00A42091">
      <w:pPr>
        <w:suppressAutoHyphens/>
        <w:spacing w:before="120" w:after="120" w:line="312" w:lineRule="auto"/>
        <w:jc w:val="center"/>
        <w:rPr>
          <w:b/>
        </w:rPr>
      </w:pPr>
      <w:r w:rsidRPr="003474BD">
        <w:rPr>
          <w:b/>
        </w:rPr>
        <w:t>УСЛОВИЯ ЗА КАНДИДАТСТВАНЕ</w:t>
      </w:r>
    </w:p>
    <w:p w14:paraId="09857ACA" w14:textId="77777777" w:rsidR="003F1496" w:rsidRPr="003474BD" w:rsidRDefault="003F1496" w:rsidP="00A42091">
      <w:pPr>
        <w:suppressAutoHyphens/>
        <w:spacing w:before="120" w:after="120" w:line="312" w:lineRule="auto"/>
        <w:jc w:val="center"/>
        <w:rPr>
          <w:b/>
        </w:rPr>
      </w:pPr>
    </w:p>
    <w:p w14:paraId="60C43ABF" w14:textId="77777777" w:rsidR="003F1496" w:rsidRPr="003474BD" w:rsidRDefault="003F1496" w:rsidP="00A42091">
      <w:pPr>
        <w:suppressAutoHyphens/>
        <w:spacing w:before="120" w:after="120" w:line="312" w:lineRule="auto"/>
        <w:jc w:val="center"/>
        <w:rPr>
          <w:b/>
        </w:rPr>
      </w:pPr>
      <w:r w:rsidRPr="003474BD">
        <w:rPr>
          <w:b/>
        </w:rPr>
        <w:t>за получаване на безвъзмездни средства по</w:t>
      </w:r>
    </w:p>
    <w:p w14:paraId="630EA766" w14:textId="77777777" w:rsidR="003F1496" w:rsidRPr="003474BD" w:rsidRDefault="003F1496" w:rsidP="00A42091">
      <w:pPr>
        <w:suppressAutoHyphens/>
        <w:spacing w:before="120" w:after="120" w:line="312" w:lineRule="auto"/>
        <w:jc w:val="center"/>
        <w:rPr>
          <w:b/>
        </w:rPr>
      </w:pPr>
      <w:r w:rsidRPr="003474BD">
        <w:rPr>
          <w:b/>
        </w:rPr>
        <w:t>процедура чрез подбор за изпълнение на инвестиции от крайни получатели</w:t>
      </w:r>
    </w:p>
    <w:p w14:paraId="4438D11E" w14:textId="77777777" w:rsidR="003F1496" w:rsidRPr="003474BD" w:rsidRDefault="003F1496" w:rsidP="00A42091">
      <w:pPr>
        <w:suppressAutoHyphens/>
        <w:spacing w:before="120" w:after="120" w:line="312" w:lineRule="auto"/>
        <w:jc w:val="center"/>
        <w:rPr>
          <w:b/>
        </w:rPr>
      </w:pPr>
    </w:p>
    <w:p w14:paraId="52BB364D" w14:textId="03F7BF55" w:rsidR="003F1496" w:rsidRPr="003474BD" w:rsidRDefault="003F1496" w:rsidP="00A42091">
      <w:pPr>
        <w:suppressAutoHyphens/>
        <w:spacing w:before="120" w:after="120" w:line="312" w:lineRule="auto"/>
        <w:jc w:val="center"/>
        <w:rPr>
          <w:rFonts w:eastAsia="MS Mincho"/>
          <w:b/>
          <w:color w:val="000000"/>
          <w:lang w:eastAsia="en-US"/>
        </w:rPr>
      </w:pPr>
      <w:bookmarkStart w:id="2" w:name="_Hlk141090484"/>
      <w:r w:rsidRPr="009E39E4">
        <w:rPr>
          <w:rFonts w:eastAsia="MS Mincho"/>
          <w:b/>
          <w:color w:val="000000"/>
          <w:lang w:eastAsia="en-US"/>
        </w:rPr>
        <w:t>BG-RRP-4.00</w:t>
      </w:r>
      <w:r w:rsidR="00294D25">
        <w:rPr>
          <w:rFonts w:eastAsia="MS Mincho"/>
          <w:b/>
          <w:color w:val="000000"/>
          <w:lang w:val="en-US" w:eastAsia="en-US"/>
        </w:rPr>
        <w:t>34</w:t>
      </w:r>
      <w:r w:rsidRPr="009E39E4">
        <w:rPr>
          <w:rFonts w:eastAsia="MS Mincho"/>
          <w:b/>
          <w:color w:val="000000"/>
          <w:lang w:eastAsia="en-US"/>
        </w:rPr>
        <w:t xml:space="preserve"> </w:t>
      </w:r>
      <w:r w:rsidR="00DC5756" w:rsidRPr="009E39E4">
        <w:rPr>
          <w:rFonts w:eastAsia="MS Mincho"/>
          <w:b/>
          <w:color w:val="000000"/>
          <w:lang w:eastAsia="en-US"/>
        </w:rPr>
        <w:t>"</w:t>
      </w:r>
      <w:bookmarkStart w:id="3" w:name="_Hlk169614094"/>
      <w:r w:rsidR="006C19E1" w:rsidRPr="009E39E4">
        <w:rPr>
          <w:b/>
          <w:bCs/>
        </w:rPr>
        <w:t>Национална инфраструктура за съхранение на електроенергия</w:t>
      </w:r>
      <w:bookmarkEnd w:id="3"/>
      <w:r w:rsidR="00FD50B9">
        <w:rPr>
          <w:b/>
          <w:bCs/>
          <w:lang w:val="en-US"/>
        </w:rPr>
        <w:t xml:space="preserve"> </w:t>
      </w:r>
      <w:r w:rsidR="00FD50B9">
        <w:rPr>
          <w:b/>
        </w:rPr>
        <w:t>от възобновяеми източници</w:t>
      </w:r>
      <w:r w:rsidR="00DC5756" w:rsidRPr="009E39E4">
        <w:rPr>
          <w:rFonts w:eastAsia="MS Mincho"/>
          <w:b/>
          <w:color w:val="000000"/>
          <w:lang w:eastAsia="en-US"/>
        </w:rPr>
        <w:t>"</w:t>
      </w:r>
      <w:bookmarkEnd w:id="2"/>
      <w:r w:rsidR="001A0143">
        <w:rPr>
          <w:rFonts w:eastAsia="MS Mincho"/>
          <w:b/>
          <w:color w:val="000000"/>
          <w:lang w:eastAsia="en-US"/>
        </w:rPr>
        <w:t xml:space="preserve"> </w:t>
      </w:r>
      <w:r w:rsidR="001A0143" w:rsidRPr="003474BD">
        <w:rPr>
          <w:b/>
        </w:rPr>
        <w:t xml:space="preserve"> (RESTORE)</w:t>
      </w:r>
    </w:p>
    <w:p w14:paraId="731F0FF8" w14:textId="77777777" w:rsidR="003F1496" w:rsidRPr="003474BD" w:rsidRDefault="003F1496" w:rsidP="00A42091">
      <w:pPr>
        <w:suppressAutoHyphens/>
        <w:spacing w:before="120" w:after="120" w:line="312" w:lineRule="auto"/>
        <w:jc w:val="center"/>
        <w:rPr>
          <w:b/>
          <w:snapToGrid w:val="0"/>
        </w:rPr>
      </w:pPr>
    </w:p>
    <w:p w14:paraId="09B4A1CC" w14:textId="19D2B61D" w:rsidR="003F1496" w:rsidRPr="003474BD" w:rsidRDefault="003F1496" w:rsidP="006C19E1">
      <w:pPr>
        <w:suppressAutoHyphens/>
        <w:spacing w:before="120" w:after="120" w:line="312" w:lineRule="auto"/>
        <w:jc w:val="center"/>
        <w:rPr>
          <w:b/>
        </w:rPr>
      </w:pPr>
      <w:bookmarkStart w:id="4" w:name="_Hlk140854627"/>
      <w:r w:rsidRPr="009E39E4">
        <w:rPr>
          <w:b/>
        </w:rPr>
        <w:t xml:space="preserve">Процедура </w:t>
      </w:r>
      <w:r w:rsidR="005F0882" w:rsidRPr="009E39E4">
        <w:rPr>
          <w:b/>
        </w:rPr>
        <w:t xml:space="preserve">1 </w:t>
      </w:r>
      <w:r w:rsidR="00DC5756" w:rsidRPr="009E39E4">
        <w:rPr>
          <w:rFonts w:eastAsia="MS Mincho"/>
          <w:b/>
          <w:color w:val="000000"/>
          <w:lang w:eastAsia="en-US"/>
        </w:rPr>
        <w:t>"</w:t>
      </w:r>
      <w:bookmarkEnd w:id="4"/>
      <w:r w:rsidR="00F60EA3" w:rsidRPr="003474BD">
        <w:rPr>
          <w:b/>
        </w:rPr>
        <w:t xml:space="preserve"> </w:t>
      </w:r>
      <w:r w:rsidR="006C19E1" w:rsidRPr="003474BD">
        <w:rPr>
          <w:b/>
        </w:rPr>
        <w:t>Национална инфраструктура за съхранение на електроенергия</w:t>
      </w:r>
      <w:r w:rsidR="00FD50B9">
        <w:rPr>
          <w:b/>
          <w:lang w:val="en-US"/>
        </w:rPr>
        <w:t xml:space="preserve"> </w:t>
      </w:r>
      <w:r w:rsidR="00FD50B9">
        <w:rPr>
          <w:b/>
        </w:rPr>
        <w:t>от възобновяеми източници</w:t>
      </w:r>
      <w:r w:rsidR="00DC5756" w:rsidRPr="009E39E4">
        <w:rPr>
          <w:rFonts w:eastAsia="MS Mincho"/>
          <w:b/>
          <w:color w:val="000000"/>
          <w:lang w:eastAsia="en-US"/>
        </w:rPr>
        <w:t>"</w:t>
      </w:r>
    </w:p>
    <w:p w14:paraId="71AFB698" w14:textId="77777777" w:rsidR="003F1496" w:rsidRPr="003474BD" w:rsidRDefault="003F1496" w:rsidP="00A42091">
      <w:pPr>
        <w:suppressAutoHyphens/>
        <w:spacing w:before="120" w:after="120" w:line="312" w:lineRule="auto"/>
        <w:jc w:val="center"/>
        <w:rPr>
          <w:b/>
        </w:rPr>
      </w:pPr>
      <w:r w:rsidRPr="003474BD">
        <w:rPr>
          <w:b/>
        </w:rPr>
        <w:br w:type="page"/>
      </w:r>
    </w:p>
    <w:p w14:paraId="7CFCDADA" w14:textId="77777777" w:rsidR="003F1496" w:rsidRPr="003474BD" w:rsidRDefault="003F1496" w:rsidP="00A42091">
      <w:pPr>
        <w:pStyle w:val="TOCHeading"/>
        <w:suppressAutoHyphens/>
        <w:spacing w:after="120" w:line="312" w:lineRule="auto"/>
        <w:rPr>
          <w:rFonts w:ascii="Times New Roman" w:hAnsi="Times New Roman"/>
          <w:sz w:val="24"/>
          <w:szCs w:val="24"/>
        </w:rPr>
      </w:pPr>
      <w:r w:rsidRPr="003474BD">
        <w:rPr>
          <w:rFonts w:ascii="Times New Roman" w:hAnsi="Times New Roman"/>
          <w:sz w:val="24"/>
          <w:szCs w:val="24"/>
        </w:rPr>
        <w:lastRenderedPageBreak/>
        <w:t>Съдържание</w:t>
      </w:r>
    </w:p>
    <w:p w14:paraId="465A2DBB" w14:textId="57C29B11" w:rsidR="002D4688" w:rsidRPr="003474BD" w:rsidRDefault="003F1496" w:rsidP="00060E40">
      <w:pPr>
        <w:pStyle w:val="TOC2"/>
        <w:rPr>
          <w:rFonts w:ascii="Times New Roman" w:eastAsiaTheme="minorEastAsia" w:hAnsi="Times New Roman"/>
          <w:noProof/>
          <w:kern w:val="2"/>
          <w:sz w:val="24"/>
          <w:szCs w:val="24"/>
          <w:lang w:eastAsia="en-GB"/>
          <w14:ligatures w14:val="standardContextual"/>
        </w:rPr>
      </w:pPr>
      <w:r w:rsidRPr="003474BD">
        <w:rPr>
          <w:rFonts w:ascii="Times New Roman" w:hAnsi="Times New Roman"/>
          <w:sz w:val="24"/>
          <w:szCs w:val="24"/>
        </w:rPr>
        <w:fldChar w:fldCharType="begin"/>
      </w:r>
      <w:r w:rsidRPr="003474BD">
        <w:rPr>
          <w:rFonts w:ascii="Times New Roman" w:hAnsi="Times New Roman"/>
          <w:sz w:val="24"/>
          <w:szCs w:val="24"/>
        </w:rPr>
        <w:instrText xml:space="preserve"> TOC \o "1-3" \h \z \u </w:instrText>
      </w:r>
      <w:r w:rsidRPr="003474BD">
        <w:rPr>
          <w:rFonts w:ascii="Times New Roman" w:hAnsi="Times New Roman"/>
          <w:sz w:val="24"/>
          <w:szCs w:val="24"/>
        </w:rPr>
        <w:fldChar w:fldCharType="separate"/>
      </w:r>
      <w:hyperlink w:anchor="_Toc166258032" w:history="1">
        <w:r w:rsidR="002D4688" w:rsidRPr="003474BD">
          <w:rPr>
            <w:rStyle w:val="Hyperlink"/>
            <w:rFonts w:ascii="Times New Roman" w:hAnsi="Times New Roman"/>
            <w:noProof/>
            <w:sz w:val="24"/>
            <w:szCs w:val="24"/>
          </w:rPr>
          <w:t>1. Компонент от Националния план за възстановяване и устойчивост:</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_Toc166258032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4</w:t>
        </w:r>
        <w:r w:rsidR="002D4688" w:rsidRPr="003474BD">
          <w:rPr>
            <w:rFonts w:ascii="Times New Roman" w:hAnsi="Times New Roman"/>
            <w:noProof/>
            <w:webHidden/>
            <w:sz w:val="24"/>
            <w:szCs w:val="24"/>
          </w:rPr>
          <w:fldChar w:fldCharType="end"/>
        </w:r>
      </w:hyperlink>
    </w:p>
    <w:p w14:paraId="0C992F7C" w14:textId="117AA979"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33" w:history="1">
        <w:r w:rsidR="002D4688" w:rsidRPr="003474BD">
          <w:rPr>
            <w:rStyle w:val="Hyperlink"/>
            <w:rFonts w:ascii="Times New Roman" w:hAnsi="Times New Roman"/>
            <w:noProof/>
            <w:sz w:val="24"/>
            <w:szCs w:val="24"/>
          </w:rPr>
          <w:t>2. Наименование на инвестицията:</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_Toc166258033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4</w:t>
        </w:r>
        <w:r w:rsidR="002D4688" w:rsidRPr="003474BD">
          <w:rPr>
            <w:rFonts w:ascii="Times New Roman" w:hAnsi="Times New Roman"/>
            <w:noProof/>
            <w:webHidden/>
            <w:sz w:val="24"/>
            <w:szCs w:val="24"/>
          </w:rPr>
          <w:fldChar w:fldCharType="end"/>
        </w:r>
      </w:hyperlink>
    </w:p>
    <w:p w14:paraId="6BBF65A3" w14:textId="694197A4"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34" w:history="1">
        <w:r w:rsidR="002D4688" w:rsidRPr="003474BD">
          <w:rPr>
            <w:rStyle w:val="Hyperlink"/>
            <w:rFonts w:ascii="Times New Roman" w:hAnsi="Times New Roman"/>
            <w:noProof/>
            <w:sz w:val="24"/>
            <w:szCs w:val="24"/>
          </w:rPr>
          <w:t>3. Наименование на процедурата:</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_Toc166258034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4</w:t>
        </w:r>
        <w:r w:rsidR="002D4688" w:rsidRPr="003474BD">
          <w:rPr>
            <w:rFonts w:ascii="Times New Roman" w:hAnsi="Times New Roman"/>
            <w:noProof/>
            <w:webHidden/>
            <w:sz w:val="24"/>
            <w:szCs w:val="24"/>
          </w:rPr>
          <w:fldChar w:fldCharType="end"/>
        </w:r>
      </w:hyperlink>
    </w:p>
    <w:p w14:paraId="28AB03E5" w14:textId="403CDE47"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35" w:history="1">
        <w:r w:rsidR="002D4688" w:rsidRPr="003474BD">
          <w:rPr>
            <w:rStyle w:val="Hyperlink"/>
            <w:rFonts w:ascii="Times New Roman" w:hAnsi="Times New Roman"/>
            <w:noProof/>
            <w:sz w:val="24"/>
            <w:szCs w:val="24"/>
          </w:rPr>
          <w:t>4. Териториален обхват:</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_Toc166258035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4</w:t>
        </w:r>
        <w:r w:rsidR="002D4688" w:rsidRPr="003474BD">
          <w:rPr>
            <w:rFonts w:ascii="Times New Roman" w:hAnsi="Times New Roman"/>
            <w:noProof/>
            <w:webHidden/>
            <w:sz w:val="24"/>
            <w:szCs w:val="24"/>
          </w:rPr>
          <w:fldChar w:fldCharType="end"/>
        </w:r>
      </w:hyperlink>
    </w:p>
    <w:p w14:paraId="43C12E66" w14:textId="6DB89461"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36" w:history="1">
        <w:r w:rsidR="002D4688" w:rsidRPr="003474BD">
          <w:rPr>
            <w:rStyle w:val="Hyperlink"/>
            <w:rFonts w:ascii="Times New Roman" w:hAnsi="Times New Roman"/>
            <w:noProof/>
            <w:sz w:val="24"/>
            <w:szCs w:val="24"/>
          </w:rPr>
          <w:t>5. Цели на получаваните безвъзмездни средства по процедурата и очаквани резултати:</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_Toc166258036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4</w:t>
        </w:r>
        <w:r w:rsidR="002D4688" w:rsidRPr="003474BD">
          <w:rPr>
            <w:rFonts w:ascii="Times New Roman" w:hAnsi="Times New Roman"/>
            <w:noProof/>
            <w:webHidden/>
            <w:sz w:val="24"/>
            <w:szCs w:val="24"/>
          </w:rPr>
          <w:fldChar w:fldCharType="end"/>
        </w:r>
      </w:hyperlink>
    </w:p>
    <w:p w14:paraId="651DE076" w14:textId="5F6013EB"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37" w:history="1">
        <w:r w:rsidR="002D4688" w:rsidRPr="003474BD">
          <w:rPr>
            <w:rStyle w:val="Hyperlink"/>
            <w:rFonts w:ascii="Times New Roman" w:hAnsi="Times New Roman"/>
            <w:noProof/>
            <w:sz w:val="24"/>
            <w:szCs w:val="24"/>
          </w:rPr>
          <w:t>6. Индикатори:</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_Toc166258037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5</w:t>
        </w:r>
        <w:r w:rsidR="002D4688" w:rsidRPr="003474BD">
          <w:rPr>
            <w:rFonts w:ascii="Times New Roman" w:hAnsi="Times New Roman"/>
            <w:noProof/>
            <w:webHidden/>
            <w:sz w:val="24"/>
            <w:szCs w:val="24"/>
          </w:rPr>
          <w:fldChar w:fldCharType="end"/>
        </w:r>
      </w:hyperlink>
    </w:p>
    <w:p w14:paraId="4638EDCD" w14:textId="208627BE"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38" w:history="1">
        <w:r w:rsidR="002D4688" w:rsidRPr="003474BD">
          <w:rPr>
            <w:rStyle w:val="Hyperlink"/>
            <w:rFonts w:ascii="Times New Roman" w:hAnsi="Times New Roman"/>
            <w:noProof/>
            <w:sz w:val="24"/>
            <w:szCs w:val="24"/>
          </w:rPr>
          <w:t>7. Общ размер на средствата по процедурата:</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_Toc166258038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6</w:t>
        </w:r>
        <w:r w:rsidR="002D4688" w:rsidRPr="003474BD">
          <w:rPr>
            <w:rFonts w:ascii="Times New Roman" w:hAnsi="Times New Roman"/>
            <w:noProof/>
            <w:webHidden/>
            <w:sz w:val="24"/>
            <w:szCs w:val="24"/>
          </w:rPr>
          <w:fldChar w:fldCharType="end"/>
        </w:r>
      </w:hyperlink>
    </w:p>
    <w:p w14:paraId="1107B0A3" w14:textId="43CDAEE3"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39" w:history="1">
        <w:r w:rsidR="002D4688" w:rsidRPr="003474BD">
          <w:rPr>
            <w:rStyle w:val="Hyperlink"/>
            <w:rFonts w:ascii="Times New Roman" w:hAnsi="Times New Roman"/>
            <w:noProof/>
            <w:sz w:val="24"/>
            <w:szCs w:val="24"/>
          </w:rPr>
          <w:t>8. Приложим режим на държавни помощи:</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_Toc166258039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6</w:t>
        </w:r>
        <w:r w:rsidR="002D4688" w:rsidRPr="003474BD">
          <w:rPr>
            <w:rFonts w:ascii="Times New Roman" w:hAnsi="Times New Roman"/>
            <w:noProof/>
            <w:webHidden/>
            <w:sz w:val="24"/>
            <w:szCs w:val="24"/>
          </w:rPr>
          <w:fldChar w:fldCharType="end"/>
        </w:r>
      </w:hyperlink>
    </w:p>
    <w:p w14:paraId="6F10048D" w14:textId="56C7B45D"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40" w:history="1">
        <w:r w:rsidR="002D4688" w:rsidRPr="003474BD">
          <w:rPr>
            <w:rStyle w:val="Hyperlink"/>
            <w:rFonts w:ascii="Times New Roman" w:hAnsi="Times New Roman"/>
            <w:noProof/>
            <w:sz w:val="24"/>
            <w:szCs w:val="24"/>
          </w:rPr>
          <w:t>9. Минимален и максимален размер на безвъзмездното финансиране за конкретно предложение за изпълнение на инвестиция:</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_Toc166258040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9</w:t>
        </w:r>
        <w:r w:rsidR="002D4688" w:rsidRPr="003474BD">
          <w:rPr>
            <w:rFonts w:ascii="Times New Roman" w:hAnsi="Times New Roman"/>
            <w:noProof/>
            <w:webHidden/>
            <w:sz w:val="24"/>
            <w:szCs w:val="24"/>
          </w:rPr>
          <w:fldChar w:fldCharType="end"/>
        </w:r>
      </w:hyperlink>
    </w:p>
    <w:p w14:paraId="548B7CEC" w14:textId="4BE4CA9E"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41" w:history="1">
        <w:r w:rsidR="002D4688" w:rsidRPr="003474BD">
          <w:rPr>
            <w:rStyle w:val="Hyperlink"/>
            <w:rFonts w:ascii="Times New Roman" w:hAnsi="Times New Roman"/>
            <w:noProof/>
            <w:sz w:val="24"/>
            <w:szCs w:val="24"/>
          </w:rPr>
          <w:t>10. Процент на съфинансиране</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_Toc166258041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10</w:t>
        </w:r>
        <w:r w:rsidR="002D4688" w:rsidRPr="003474BD">
          <w:rPr>
            <w:rFonts w:ascii="Times New Roman" w:hAnsi="Times New Roman"/>
            <w:noProof/>
            <w:webHidden/>
            <w:sz w:val="24"/>
            <w:szCs w:val="24"/>
          </w:rPr>
          <w:fldChar w:fldCharType="end"/>
        </w:r>
      </w:hyperlink>
    </w:p>
    <w:p w14:paraId="06445290" w14:textId="1824069A"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42" w:history="1">
        <w:r w:rsidR="002D4688" w:rsidRPr="003474BD">
          <w:rPr>
            <w:rStyle w:val="Hyperlink"/>
            <w:rFonts w:ascii="Times New Roman" w:hAnsi="Times New Roman"/>
            <w:noProof/>
            <w:sz w:val="24"/>
            <w:szCs w:val="24"/>
          </w:rPr>
          <w:t>11. Допустими кандидати:</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_Toc166258042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10</w:t>
        </w:r>
        <w:r w:rsidR="002D4688" w:rsidRPr="003474BD">
          <w:rPr>
            <w:rFonts w:ascii="Times New Roman" w:hAnsi="Times New Roman"/>
            <w:noProof/>
            <w:webHidden/>
            <w:sz w:val="24"/>
            <w:szCs w:val="24"/>
          </w:rPr>
          <w:fldChar w:fldCharType="end"/>
        </w:r>
      </w:hyperlink>
    </w:p>
    <w:p w14:paraId="06201636" w14:textId="51C0EF57" w:rsidR="002D4688" w:rsidRPr="003474BD" w:rsidRDefault="00A434FE" w:rsidP="00242C48">
      <w:pPr>
        <w:pStyle w:val="TOC3"/>
        <w:rPr>
          <w:rFonts w:eastAsiaTheme="minorEastAsia"/>
          <w:noProof/>
          <w:kern w:val="2"/>
          <w:lang w:eastAsia="en-GB"/>
          <w14:ligatures w14:val="standardContextual"/>
        </w:rPr>
      </w:pPr>
      <w:hyperlink w:anchor="_Toc166258043" w:history="1">
        <w:r w:rsidR="002D4688" w:rsidRPr="003474BD">
          <w:rPr>
            <w:rStyle w:val="Hyperlink"/>
            <w:rFonts w:ascii="Times New Roman" w:hAnsi="Times New Roman"/>
            <w:noProof/>
            <w:sz w:val="24"/>
            <w:szCs w:val="24"/>
          </w:rPr>
          <w:t>11.1 Критерии за допустимост на кандидатите</w:t>
        </w:r>
        <w:r w:rsidR="002D4688" w:rsidRPr="003474BD">
          <w:rPr>
            <w:noProof/>
            <w:webHidden/>
          </w:rPr>
          <w:tab/>
        </w:r>
        <w:r w:rsidR="002D4688" w:rsidRPr="003474BD">
          <w:rPr>
            <w:noProof/>
            <w:webHidden/>
          </w:rPr>
          <w:fldChar w:fldCharType="begin"/>
        </w:r>
        <w:r w:rsidR="002D4688" w:rsidRPr="003474BD">
          <w:rPr>
            <w:noProof/>
            <w:webHidden/>
          </w:rPr>
          <w:instrText xml:space="preserve"> PAGEREF _Toc166258043 \h </w:instrText>
        </w:r>
        <w:r w:rsidR="002D4688" w:rsidRPr="003474BD">
          <w:rPr>
            <w:noProof/>
            <w:webHidden/>
          </w:rPr>
        </w:r>
        <w:r w:rsidR="002D4688" w:rsidRPr="003474BD">
          <w:rPr>
            <w:noProof/>
            <w:webHidden/>
          </w:rPr>
          <w:fldChar w:fldCharType="separate"/>
        </w:r>
        <w:r w:rsidR="005B3926">
          <w:rPr>
            <w:noProof/>
            <w:webHidden/>
          </w:rPr>
          <w:t>10</w:t>
        </w:r>
        <w:r w:rsidR="002D4688" w:rsidRPr="003474BD">
          <w:rPr>
            <w:noProof/>
            <w:webHidden/>
          </w:rPr>
          <w:fldChar w:fldCharType="end"/>
        </w:r>
      </w:hyperlink>
    </w:p>
    <w:p w14:paraId="1800DC6D" w14:textId="3D11E5FE" w:rsidR="002D4688" w:rsidRPr="003474BD" w:rsidRDefault="00A434FE" w:rsidP="00242C48">
      <w:pPr>
        <w:pStyle w:val="TOC3"/>
        <w:rPr>
          <w:rFonts w:eastAsiaTheme="minorEastAsia"/>
          <w:noProof/>
          <w:kern w:val="2"/>
          <w:lang w:eastAsia="en-GB"/>
          <w14:ligatures w14:val="standardContextual"/>
        </w:rPr>
      </w:pPr>
      <w:hyperlink w:anchor="_Toc166258044" w:history="1">
        <w:r w:rsidR="002D4688" w:rsidRPr="003474BD">
          <w:rPr>
            <w:rStyle w:val="Hyperlink"/>
            <w:rFonts w:ascii="Times New Roman" w:hAnsi="Times New Roman"/>
            <w:noProof/>
            <w:sz w:val="24"/>
            <w:szCs w:val="24"/>
          </w:rPr>
          <w:t>11.2. Критерии за недопустимост на кандидатите</w:t>
        </w:r>
        <w:r w:rsidR="002D4688" w:rsidRPr="003474BD">
          <w:rPr>
            <w:noProof/>
            <w:webHidden/>
          </w:rPr>
          <w:tab/>
        </w:r>
        <w:r w:rsidR="002D4688" w:rsidRPr="003474BD">
          <w:rPr>
            <w:noProof/>
            <w:webHidden/>
          </w:rPr>
          <w:fldChar w:fldCharType="begin"/>
        </w:r>
        <w:r w:rsidR="002D4688" w:rsidRPr="003474BD">
          <w:rPr>
            <w:noProof/>
            <w:webHidden/>
          </w:rPr>
          <w:instrText xml:space="preserve"> PAGEREF _Toc166258044 \h </w:instrText>
        </w:r>
        <w:r w:rsidR="002D4688" w:rsidRPr="003474BD">
          <w:rPr>
            <w:noProof/>
            <w:webHidden/>
          </w:rPr>
        </w:r>
        <w:r w:rsidR="002D4688" w:rsidRPr="003474BD">
          <w:rPr>
            <w:noProof/>
            <w:webHidden/>
          </w:rPr>
          <w:fldChar w:fldCharType="separate"/>
        </w:r>
        <w:r w:rsidR="005B3926">
          <w:rPr>
            <w:noProof/>
            <w:webHidden/>
          </w:rPr>
          <w:t>13</w:t>
        </w:r>
        <w:r w:rsidR="002D4688" w:rsidRPr="003474BD">
          <w:rPr>
            <w:noProof/>
            <w:webHidden/>
          </w:rPr>
          <w:fldChar w:fldCharType="end"/>
        </w:r>
      </w:hyperlink>
    </w:p>
    <w:p w14:paraId="74150E06" w14:textId="0DEE8A48"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45" w:history="1">
        <w:r w:rsidR="002D4688" w:rsidRPr="003474BD">
          <w:rPr>
            <w:rStyle w:val="Hyperlink"/>
            <w:rFonts w:ascii="Times New Roman" w:hAnsi="Times New Roman"/>
            <w:noProof/>
            <w:sz w:val="24"/>
            <w:szCs w:val="24"/>
          </w:rPr>
          <w:t>12. Допустими партньори:</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_Toc166258045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17</w:t>
        </w:r>
        <w:r w:rsidR="002D4688" w:rsidRPr="003474BD">
          <w:rPr>
            <w:rFonts w:ascii="Times New Roman" w:hAnsi="Times New Roman"/>
            <w:noProof/>
            <w:webHidden/>
            <w:sz w:val="24"/>
            <w:szCs w:val="24"/>
          </w:rPr>
          <w:fldChar w:fldCharType="end"/>
        </w:r>
      </w:hyperlink>
    </w:p>
    <w:p w14:paraId="66C7E082" w14:textId="7264D024"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46" w:history="1">
        <w:r w:rsidR="002D4688" w:rsidRPr="003474BD">
          <w:rPr>
            <w:rStyle w:val="Hyperlink"/>
            <w:rFonts w:ascii="Times New Roman" w:hAnsi="Times New Roman"/>
            <w:noProof/>
            <w:sz w:val="24"/>
            <w:szCs w:val="24"/>
          </w:rPr>
          <w:t>13. Дейности, допустими за финансиране:</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_Toc166258046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17</w:t>
        </w:r>
        <w:r w:rsidR="002D4688" w:rsidRPr="003474BD">
          <w:rPr>
            <w:rFonts w:ascii="Times New Roman" w:hAnsi="Times New Roman"/>
            <w:noProof/>
            <w:webHidden/>
            <w:sz w:val="24"/>
            <w:szCs w:val="24"/>
          </w:rPr>
          <w:fldChar w:fldCharType="end"/>
        </w:r>
      </w:hyperlink>
    </w:p>
    <w:p w14:paraId="1CFCBD76" w14:textId="17CF7BAF" w:rsidR="002D4688" w:rsidRPr="003474BD" w:rsidRDefault="00A434FE" w:rsidP="00242C48">
      <w:pPr>
        <w:pStyle w:val="TOC3"/>
        <w:rPr>
          <w:rFonts w:eastAsiaTheme="minorEastAsia"/>
          <w:noProof/>
          <w:kern w:val="2"/>
          <w:lang w:eastAsia="en-GB"/>
          <w14:ligatures w14:val="standardContextual"/>
        </w:rPr>
      </w:pPr>
      <w:hyperlink w:anchor="_Toc166258047" w:history="1">
        <w:r w:rsidR="002D4688" w:rsidRPr="003474BD">
          <w:rPr>
            <w:rStyle w:val="Hyperlink"/>
            <w:rFonts w:ascii="Times New Roman" w:hAnsi="Times New Roman"/>
            <w:noProof/>
            <w:sz w:val="24"/>
            <w:szCs w:val="24"/>
          </w:rPr>
          <w:t>13.1. Допустими дейности</w:t>
        </w:r>
        <w:r w:rsidR="002D4688" w:rsidRPr="003474BD">
          <w:rPr>
            <w:noProof/>
            <w:webHidden/>
          </w:rPr>
          <w:tab/>
        </w:r>
        <w:r w:rsidR="002D4688" w:rsidRPr="003474BD">
          <w:rPr>
            <w:noProof/>
            <w:webHidden/>
          </w:rPr>
          <w:fldChar w:fldCharType="begin"/>
        </w:r>
        <w:r w:rsidR="002D4688" w:rsidRPr="003474BD">
          <w:rPr>
            <w:noProof/>
            <w:webHidden/>
          </w:rPr>
          <w:instrText xml:space="preserve"> PAGEREF _Toc166258047 \h </w:instrText>
        </w:r>
        <w:r w:rsidR="002D4688" w:rsidRPr="003474BD">
          <w:rPr>
            <w:noProof/>
            <w:webHidden/>
          </w:rPr>
        </w:r>
        <w:r w:rsidR="002D4688" w:rsidRPr="003474BD">
          <w:rPr>
            <w:noProof/>
            <w:webHidden/>
          </w:rPr>
          <w:fldChar w:fldCharType="separate"/>
        </w:r>
        <w:r w:rsidR="005B3926">
          <w:rPr>
            <w:noProof/>
            <w:webHidden/>
          </w:rPr>
          <w:t>17</w:t>
        </w:r>
        <w:r w:rsidR="002D4688" w:rsidRPr="003474BD">
          <w:rPr>
            <w:noProof/>
            <w:webHidden/>
          </w:rPr>
          <w:fldChar w:fldCharType="end"/>
        </w:r>
      </w:hyperlink>
    </w:p>
    <w:p w14:paraId="26FD105D" w14:textId="68531FA3" w:rsidR="002D4688" w:rsidRPr="003474BD" w:rsidRDefault="00A434FE" w:rsidP="00242C48">
      <w:pPr>
        <w:pStyle w:val="TOC3"/>
        <w:rPr>
          <w:rFonts w:eastAsiaTheme="minorEastAsia"/>
          <w:noProof/>
          <w:kern w:val="2"/>
          <w:lang w:eastAsia="en-GB"/>
          <w14:ligatures w14:val="standardContextual"/>
        </w:rPr>
      </w:pPr>
      <w:hyperlink w:anchor="_Toc166258048" w:history="1">
        <w:r w:rsidR="002D4688" w:rsidRPr="003474BD">
          <w:rPr>
            <w:rStyle w:val="Hyperlink"/>
            <w:rFonts w:ascii="Times New Roman" w:hAnsi="Times New Roman"/>
            <w:noProof/>
            <w:sz w:val="24"/>
            <w:szCs w:val="24"/>
          </w:rPr>
          <w:t>13.2. Недопустими дейности</w:t>
        </w:r>
        <w:r w:rsidR="002D4688" w:rsidRPr="003474BD">
          <w:rPr>
            <w:noProof/>
            <w:webHidden/>
          </w:rPr>
          <w:tab/>
        </w:r>
        <w:r w:rsidR="002D4688" w:rsidRPr="003474BD">
          <w:rPr>
            <w:noProof/>
            <w:webHidden/>
          </w:rPr>
          <w:fldChar w:fldCharType="begin"/>
        </w:r>
        <w:r w:rsidR="002D4688" w:rsidRPr="003474BD">
          <w:rPr>
            <w:noProof/>
            <w:webHidden/>
          </w:rPr>
          <w:instrText xml:space="preserve"> PAGEREF _Toc166258048 \h </w:instrText>
        </w:r>
        <w:r w:rsidR="002D4688" w:rsidRPr="003474BD">
          <w:rPr>
            <w:noProof/>
            <w:webHidden/>
          </w:rPr>
        </w:r>
        <w:r w:rsidR="002D4688" w:rsidRPr="003474BD">
          <w:rPr>
            <w:noProof/>
            <w:webHidden/>
          </w:rPr>
          <w:fldChar w:fldCharType="separate"/>
        </w:r>
        <w:r w:rsidR="005B3926">
          <w:rPr>
            <w:noProof/>
            <w:webHidden/>
          </w:rPr>
          <w:t>21</w:t>
        </w:r>
        <w:r w:rsidR="002D4688" w:rsidRPr="003474BD">
          <w:rPr>
            <w:noProof/>
            <w:webHidden/>
          </w:rPr>
          <w:fldChar w:fldCharType="end"/>
        </w:r>
      </w:hyperlink>
    </w:p>
    <w:p w14:paraId="556997FA" w14:textId="6B1B8C4B"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49" w:history="1">
        <w:r w:rsidR="002D4688" w:rsidRPr="003474BD">
          <w:rPr>
            <w:rStyle w:val="Hyperlink"/>
            <w:rFonts w:ascii="Times New Roman" w:hAnsi="Times New Roman"/>
            <w:noProof/>
            <w:sz w:val="24"/>
            <w:szCs w:val="24"/>
          </w:rPr>
          <w:t>14. Категории разходи, допустими за финансиране:</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_Toc166258049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23</w:t>
        </w:r>
        <w:r w:rsidR="002D4688" w:rsidRPr="003474BD">
          <w:rPr>
            <w:rFonts w:ascii="Times New Roman" w:hAnsi="Times New Roman"/>
            <w:noProof/>
            <w:webHidden/>
            <w:sz w:val="24"/>
            <w:szCs w:val="24"/>
          </w:rPr>
          <w:fldChar w:fldCharType="end"/>
        </w:r>
      </w:hyperlink>
    </w:p>
    <w:p w14:paraId="4EF823A4" w14:textId="6F1C80C4" w:rsidR="002D4688" w:rsidRPr="003474BD" w:rsidRDefault="00A434FE" w:rsidP="00242C48">
      <w:pPr>
        <w:pStyle w:val="TOC3"/>
        <w:rPr>
          <w:rFonts w:eastAsiaTheme="minorEastAsia"/>
          <w:noProof/>
          <w:kern w:val="2"/>
          <w:lang w:eastAsia="en-GB"/>
          <w14:ligatures w14:val="standardContextual"/>
        </w:rPr>
      </w:pPr>
      <w:hyperlink w:anchor="_Toc166258050" w:history="1">
        <w:r w:rsidR="002D4688" w:rsidRPr="003474BD">
          <w:rPr>
            <w:rStyle w:val="Hyperlink"/>
            <w:rFonts w:ascii="Times New Roman" w:hAnsi="Times New Roman"/>
            <w:noProof/>
            <w:sz w:val="24"/>
            <w:szCs w:val="24"/>
          </w:rPr>
          <w:t>14.1. Условия за допустимост на разходите</w:t>
        </w:r>
        <w:r w:rsidR="002D4688" w:rsidRPr="003474BD">
          <w:rPr>
            <w:noProof/>
            <w:webHidden/>
          </w:rPr>
          <w:tab/>
        </w:r>
        <w:r w:rsidR="002D4688" w:rsidRPr="003474BD">
          <w:rPr>
            <w:noProof/>
            <w:webHidden/>
          </w:rPr>
          <w:fldChar w:fldCharType="begin"/>
        </w:r>
        <w:r w:rsidR="002D4688" w:rsidRPr="003474BD">
          <w:rPr>
            <w:noProof/>
            <w:webHidden/>
          </w:rPr>
          <w:instrText xml:space="preserve"> PAGEREF _Toc166258050 \h </w:instrText>
        </w:r>
        <w:r w:rsidR="002D4688" w:rsidRPr="003474BD">
          <w:rPr>
            <w:noProof/>
            <w:webHidden/>
          </w:rPr>
        </w:r>
        <w:r w:rsidR="002D4688" w:rsidRPr="003474BD">
          <w:rPr>
            <w:noProof/>
            <w:webHidden/>
          </w:rPr>
          <w:fldChar w:fldCharType="separate"/>
        </w:r>
        <w:r w:rsidR="005B3926">
          <w:rPr>
            <w:noProof/>
            <w:webHidden/>
          </w:rPr>
          <w:t>24</w:t>
        </w:r>
        <w:r w:rsidR="002D4688" w:rsidRPr="003474BD">
          <w:rPr>
            <w:noProof/>
            <w:webHidden/>
          </w:rPr>
          <w:fldChar w:fldCharType="end"/>
        </w:r>
      </w:hyperlink>
    </w:p>
    <w:p w14:paraId="207C31E8" w14:textId="0922A5A3" w:rsidR="002D4688" w:rsidRPr="003474BD" w:rsidRDefault="00A434FE" w:rsidP="00242C48">
      <w:pPr>
        <w:pStyle w:val="TOC3"/>
        <w:rPr>
          <w:rFonts w:eastAsiaTheme="minorEastAsia"/>
          <w:noProof/>
          <w:kern w:val="2"/>
          <w:lang w:eastAsia="en-GB"/>
          <w14:ligatures w14:val="standardContextual"/>
        </w:rPr>
      </w:pPr>
      <w:hyperlink w:anchor="_Toc166258051" w:history="1">
        <w:r w:rsidR="002D4688" w:rsidRPr="003474BD">
          <w:rPr>
            <w:rStyle w:val="Hyperlink"/>
            <w:rFonts w:ascii="Times New Roman" w:hAnsi="Times New Roman"/>
            <w:noProof/>
            <w:sz w:val="24"/>
            <w:szCs w:val="24"/>
          </w:rPr>
          <w:t>14.2. Допустими разходи</w:t>
        </w:r>
        <w:r w:rsidR="002D4688" w:rsidRPr="003474BD">
          <w:rPr>
            <w:noProof/>
            <w:webHidden/>
          </w:rPr>
          <w:tab/>
        </w:r>
        <w:r w:rsidR="002D4688" w:rsidRPr="003474BD">
          <w:rPr>
            <w:noProof/>
            <w:webHidden/>
          </w:rPr>
          <w:fldChar w:fldCharType="begin"/>
        </w:r>
        <w:r w:rsidR="002D4688" w:rsidRPr="003474BD">
          <w:rPr>
            <w:noProof/>
            <w:webHidden/>
          </w:rPr>
          <w:instrText xml:space="preserve"> PAGEREF _Toc166258051 \h </w:instrText>
        </w:r>
        <w:r w:rsidR="002D4688" w:rsidRPr="003474BD">
          <w:rPr>
            <w:noProof/>
            <w:webHidden/>
          </w:rPr>
        </w:r>
        <w:r w:rsidR="002D4688" w:rsidRPr="003474BD">
          <w:rPr>
            <w:noProof/>
            <w:webHidden/>
          </w:rPr>
          <w:fldChar w:fldCharType="separate"/>
        </w:r>
        <w:r w:rsidR="005B3926">
          <w:rPr>
            <w:noProof/>
            <w:webHidden/>
          </w:rPr>
          <w:t>25</w:t>
        </w:r>
        <w:r w:rsidR="002D4688" w:rsidRPr="003474BD">
          <w:rPr>
            <w:noProof/>
            <w:webHidden/>
          </w:rPr>
          <w:fldChar w:fldCharType="end"/>
        </w:r>
      </w:hyperlink>
    </w:p>
    <w:p w14:paraId="57935743" w14:textId="54463209" w:rsidR="002D4688" w:rsidRPr="003474BD" w:rsidRDefault="00A434FE" w:rsidP="00242C48">
      <w:pPr>
        <w:pStyle w:val="TOC3"/>
        <w:rPr>
          <w:rFonts w:eastAsiaTheme="minorEastAsia"/>
          <w:noProof/>
          <w:kern w:val="2"/>
          <w:lang w:eastAsia="en-GB"/>
          <w14:ligatures w14:val="standardContextual"/>
        </w:rPr>
      </w:pPr>
      <w:hyperlink w:anchor="_Toc166258052" w:history="1">
        <w:r w:rsidR="002D4688" w:rsidRPr="003474BD">
          <w:rPr>
            <w:rStyle w:val="Hyperlink"/>
            <w:rFonts w:ascii="Times New Roman" w:hAnsi="Times New Roman"/>
            <w:noProof/>
            <w:sz w:val="24"/>
            <w:szCs w:val="24"/>
          </w:rPr>
          <w:t>14.3. Недопустими разходи</w:t>
        </w:r>
        <w:r w:rsidR="002D4688" w:rsidRPr="003474BD">
          <w:rPr>
            <w:noProof/>
            <w:webHidden/>
          </w:rPr>
          <w:tab/>
        </w:r>
        <w:r w:rsidR="002D4688" w:rsidRPr="003474BD">
          <w:rPr>
            <w:noProof/>
            <w:webHidden/>
          </w:rPr>
          <w:fldChar w:fldCharType="begin"/>
        </w:r>
        <w:r w:rsidR="002D4688" w:rsidRPr="003474BD">
          <w:rPr>
            <w:noProof/>
            <w:webHidden/>
          </w:rPr>
          <w:instrText xml:space="preserve"> PAGEREF _Toc166258052 \h </w:instrText>
        </w:r>
        <w:r w:rsidR="002D4688" w:rsidRPr="003474BD">
          <w:rPr>
            <w:noProof/>
            <w:webHidden/>
          </w:rPr>
        </w:r>
        <w:r w:rsidR="002D4688" w:rsidRPr="003474BD">
          <w:rPr>
            <w:noProof/>
            <w:webHidden/>
          </w:rPr>
          <w:fldChar w:fldCharType="separate"/>
        </w:r>
        <w:r w:rsidR="005B3926">
          <w:rPr>
            <w:noProof/>
            <w:webHidden/>
          </w:rPr>
          <w:t>27</w:t>
        </w:r>
        <w:r w:rsidR="002D4688" w:rsidRPr="003474BD">
          <w:rPr>
            <w:noProof/>
            <w:webHidden/>
          </w:rPr>
          <w:fldChar w:fldCharType="end"/>
        </w:r>
      </w:hyperlink>
    </w:p>
    <w:p w14:paraId="4A879834" w14:textId="55E43794"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53" w:history="1">
        <w:r w:rsidR="002D4688" w:rsidRPr="003474BD">
          <w:rPr>
            <w:rStyle w:val="Hyperlink"/>
            <w:rFonts w:ascii="Times New Roman" w:hAnsi="Times New Roman"/>
            <w:noProof/>
            <w:sz w:val="24"/>
            <w:szCs w:val="24"/>
          </w:rPr>
          <w:t>15. Допустими целеви групи:</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_Toc166258053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28</w:t>
        </w:r>
        <w:r w:rsidR="002D4688" w:rsidRPr="003474BD">
          <w:rPr>
            <w:rFonts w:ascii="Times New Roman" w:hAnsi="Times New Roman"/>
            <w:noProof/>
            <w:webHidden/>
            <w:sz w:val="24"/>
            <w:szCs w:val="24"/>
          </w:rPr>
          <w:fldChar w:fldCharType="end"/>
        </w:r>
      </w:hyperlink>
    </w:p>
    <w:p w14:paraId="4EE6EE30" w14:textId="1F24EC52"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54" w:history="1">
        <w:r w:rsidR="002D4688" w:rsidRPr="003474BD">
          <w:rPr>
            <w:rStyle w:val="Hyperlink"/>
            <w:rFonts w:ascii="Times New Roman" w:hAnsi="Times New Roman"/>
            <w:noProof/>
            <w:sz w:val="24"/>
            <w:szCs w:val="24"/>
          </w:rPr>
          <w:t>16. Приложими хоризонтални принципи:</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_Toc166258054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28</w:t>
        </w:r>
        <w:r w:rsidR="002D4688" w:rsidRPr="003474BD">
          <w:rPr>
            <w:rFonts w:ascii="Times New Roman" w:hAnsi="Times New Roman"/>
            <w:noProof/>
            <w:webHidden/>
            <w:sz w:val="24"/>
            <w:szCs w:val="24"/>
          </w:rPr>
          <w:fldChar w:fldCharType="end"/>
        </w:r>
      </w:hyperlink>
    </w:p>
    <w:p w14:paraId="0C4C857A" w14:textId="746506B0"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55" w:history="1">
        <w:r w:rsidR="002D4688" w:rsidRPr="003474BD">
          <w:rPr>
            <w:rStyle w:val="Hyperlink"/>
            <w:rFonts w:ascii="Times New Roman" w:hAnsi="Times New Roman"/>
            <w:noProof/>
            <w:sz w:val="24"/>
            <w:szCs w:val="24"/>
          </w:rPr>
          <w:t>17. Минимален и максимален срок за изпълнение на предложението за изпълнение на инвестиция:</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_Toc166258055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29</w:t>
        </w:r>
        <w:r w:rsidR="002D4688" w:rsidRPr="003474BD">
          <w:rPr>
            <w:rFonts w:ascii="Times New Roman" w:hAnsi="Times New Roman"/>
            <w:noProof/>
            <w:webHidden/>
            <w:sz w:val="24"/>
            <w:szCs w:val="24"/>
          </w:rPr>
          <w:fldChar w:fldCharType="end"/>
        </w:r>
      </w:hyperlink>
    </w:p>
    <w:p w14:paraId="6EA94B38" w14:textId="4420643C"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56" w:history="1">
        <w:r w:rsidR="002D4688" w:rsidRPr="003474BD">
          <w:rPr>
            <w:rStyle w:val="Hyperlink"/>
            <w:rFonts w:ascii="Times New Roman" w:hAnsi="Times New Roman"/>
            <w:noProof/>
            <w:sz w:val="24"/>
            <w:szCs w:val="24"/>
          </w:rPr>
          <w:t>18. Ред за оценяване на предложенията за изпълнение на инвестиция:</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_Toc166258056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30</w:t>
        </w:r>
        <w:r w:rsidR="002D4688" w:rsidRPr="003474BD">
          <w:rPr>
            <w:rFonts w:ascii="Times New Roman" w:hAnsi="Times New Roman"/>
            <w:noProof/>
            <w:webHidden/>
            <w:sz w:val="24"/>
            <w:szCs w:val="24"/>
          </w:rPr>
          <w:fldChar w:fldCharType="end"/>
        </w:r>
      </w:hyperlink>
    </w:p>
    <w:p w14:paraId="6FB7A27F" w14:textId="3423F3AC"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57" w:history="1">
        <w:r w:rsidR="002D4688" w:rsidRPr="003474BD">
          <w:rPr>
            <w:rStyle w:val="Hyperlink"/>
            <w:rFonts w:ascii="Times New Roman" w:hAnsi="Times New Roman"/>
            <w:noProof/>
            <w:sz w:val="24"/>
            <w:szCs w:val="24"/>
          </w:rPr>
          <w:t>19. Начин на подаване на предложенията за изпълнение на инвестиция:</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_Toc166258057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36</w:t>
        </w:r>
        <w:r w:rsidR="002D4688" w:rsidRPr="003474BD">
          <w:rPr>
            <w:rFonts w:ascii="Times New Roman" w:hAnsi="Times New Roman"/>
            <w:noProof/>
            <w:webHidden/>
            <w:sz w:val="24"/>
            <w:szCs w:val="24"/>
          </w:rPr>
          <w:fldChar w:fldCharType="end"/>
        </w:r>
      </w:hyperlink>
    </w:p>
    <w:p w14:paraId="72E1C56A" w14:textId="78A52DCD"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58" w:history="1">
        <w:r w:rsidR="002D4688" w:rsidRPr="003474BD">
          <w:rPr>
            <w:rStyle w:val="Hyperlink"/>
            <w:rFonts w:ascii="Times New Roman" w:hAnsi="Times New Roman"/>
            <w:noProof/>
            <w:sz w:val="24"/>
            <w:szCs w:val="24"/>
          </w:rPr>
          <w:t>20. Списък на документите, които се подават на етап кандидатстване:</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_Toc166258058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38</w:t>
        </w:r>
        <w:r w:rsidR="002D4688" w:rsidRPr="003474BD">
          <w:rPr>
            <w:rFonts w:ascii="Times New Roman" w:hAnsi="Times New Roman"/>
            <w:noProof/>
            <w:webHidden/>
            <w:sz w:val="24"/>
            <w:szCs w:val="24"/>
          </w:rPr>
          <w:fldChar w:fldCharType="end"/>
        </w:r>
      </w:hyperlink>
    </w:p>
    <w:p w14:paraId="5A5F6745" w14:textId="32B2B4AB"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59" w:history="1">
        <w:r w:rsidR="002D4688" w:rsidRPr="003474BD">
          <w:rPr>
            <w:rStyle w:val="Hyperlink"/>
            <w:rFonts w:ascii="Times New Roman" w:hAnsi="Times New Roman"/>
            <w:noProof/>
            <w:sz w:val="24"/>
            <w:szCs w:val="24"/>
          </w:rPr>
          <w:t>21. Краен срок за подаване на предложенията за изпълнение на инвестиция:</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_Toc166258059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41</w:t>
        </w:r>
        <w:r w:rsidR="002D4688" w:rsidRPr="003474BD">
          <w:rPr>
            <w:rFonts w:ascii="Times New Roman" w:hAnsi="Times New Roman"/>
            <w:noProof/>
            <w:webHidden/>
            <w:sz w:val="24"/>
            <w:szCs w:val="24"/>
          </w:rPr>
          <w:fldChar w:fldCharType="end"/>
        </w:r>
      </w:hyperlink>
    </w:p>
    <w:p w14:paraId="1909B456" w14:textId="33EB1F5B"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60" w:history="1">
        <w:r w:rsidR="002D4688" w:rsidRPr="003474BD">
          <w:rPr>
            <w:rStyle w:val="Hyperlink"/>
            <w:rFonts w:ascii="Times New Roman" w:hAnsi="Times New Roman"/>
            <w:noProof/>
            <w:sz w:val="24"/>
            <w:szCs w:val="24"/>
          </w:rPr>
          <w:t>22. Адрес за подаване на предложенията за изпълнение на инвестиция</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_Toc166258060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41</w:t>
        </w:r>
        <w:r w:rsidR="002D4688" w:rsidRPr="003474BD">
          <w:rPr>
            <w:rFonts w:ascii="Times New Roman" w:hAnsi="Times New Roman"/>
            <w:noProof/>
            <w:webHidden/>
            <w:sz w:val="24"/>
            <w:szCs w:val="24"/>
          </w:rPr>
          <w:fldChar w:fldCharType="end"/>
        </w:r>
      </w:hyperlink>
    </w:p>
    <w:p w14:paraId="2457FACB" w14:textId="5AA983C3"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61" w:history="1">
        <w:r w:rsidR="002D4688" w:rsidRPr="003474BD">
          <w:rPr>
            <w:rStyle w:val="Hyperlink"/>
            <w:rFonts w:ascii="Times New Roman" w:hAnsi="Times New Roman"/>
            <w:noProof/>
            <w:sz w:val="24"/>
            <w:szCs w:val="24"/>
          </w:rPr>
          <w:t>23. Допълнителна информация:</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_Toc166258061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41</w:t>
        </w:r>
        <w:r w:rsidR="002D4688" w:rsidRPr="003474BD">
          <w:rPr>
            <w:rFonts w:ascii="Times New Roman" w:hAnsi="Times New Roman"/>
            <w:noProof/>
            <w:webHidden/>
            <w:sz w:val="24"/>
            <w:szCs w:val="24"/>
          </w:rPr>
          <w:fldChar w:fldCharType="end"/>
        </w:r>
      </w:hyperlink>
    </w:p>
    <w:p w14:paraId="5E3D1662" w14:textId="4D03A630" w:rsidR="002D4688" w:rsidRPr="003474BD" w:rsidRDefault="00A434FE" w:rsidP="00242C48">
      <w:pPr>
        <w:pStyle w:val="TOC3"/>
        <w:rPr>
          <w:rFonts w:eastAsiaTheme="minorEastAsia"/>
          <w:noProof/>
          <w:kern w:val="2"/>
          <w:lang w:eastAsia="en-GB"/>
          <w14:ligatures w14:val="standardContextual"/>
        </w:rPr>
      </w:pPr>
      <w:hyperlink w:anchor="_Toc166258062" w:history="1">
        <w:r w:rsidR="002D4688" w:rsidRPr="003474BD">
          <w:rPr>
            <w:rStyle w:val="Hyperlink"/>
            <w:rFonts w:ascii="Times New Roman" w:hAnsi="Times New Roman"/>
            <w:noProof/>
            <w:sz w:val="24"/>
            <w:szCs w:val="24"/>
          </w:rPr>
          <w:t>23.1. Процедура за уведомяване на неуспелите кандидати:</w:t>
        </w:r>
        <w:r w:rsidR="002D4688" w:rsidRPr="003474BD">
          <w:rPr>
            <w:noProof/>
            <w:webHidden/>
          </w:rPr>
          <w:tab/>
        </w:r>
        <w:r w:rsidR="002D4688" w:rsidRPr="003474BD">
          <w:rPr>
            <w:noProof/>
            <w:webHidden/>
          </w:rPr>
          <w:fldChar w:fldCharType="begin"/>
        </w:r>
        <w:r w:rsidR="002D4688" w:rsidRPr="003474BD">
          <w:rPr>
            <w:noProof/>
            <w:webHidden/>
          </w:rPr>
          <w:instrText xml:space="preserve"> PAGEREF _Toc166258062 \h </w:instrText>
        </w:r>
        <w:r w:rsidR="002D4688" w:rsidRPr="003474BD">
          <w:rPr>
            <w:noProof/>
            <w:webHidden/>
          </w:rPr>
        </w:r>
        <w:r w:rsidR="002D4688" w:rsidRPr="003474BD">
          <w:rPr>
            <w:noProof/>
            <w:webHidden/>
          </w:rPr>
          <w:fldChar w:fldCharType="separate"/>
        </w:r>
        <w:r w:rsidR="005B3926">
          <w:rPr>
            <w:noProof/>
            <w:webHidden/>
          </w:rPr>
          <w:t>41</w:t>
        </w:r>
        <w:r w:rsidR="002D4688" w:rsidRPr="003474BD">
          <w:rPr>
            <w:noProof/>
            <w:webHidden/>
          </w:rPr>
          <w:fldChar w:fldCharType="end"/>
        </w:r>
      </w:hyperlink>
    </w:p>
    <w:p w14:paraId="6890A93B" w14:textId="7060F3F6" w:rsidR="002D4688" w:rsidRPr="003474BD" w:rsidRDefault="00A434FE" w:rsidP="00242C48">
      <w:pPr>
        <w:pStyle w:val="TOC3"/>
        <w:rPr>
          <w:rFonts w:eastAsiaTheme="minorEastAsia"/>
          <w:noProof/>
          <w:kern w:val="2"/>
          <w:lang w:eastAsia="en-GB"/>
          <w14:ligatures w14:val="standardContextual"/>
        </w:rPr>
      </w:pPr>
      <w:hyperlink w:anchor="_Toc166258063" w:history="1">
        <w:r w:rsidR="002D4688" w:rsidRPr="003474BD">
          <w:rPr>
            <w:rStyle w:val="Hyperlink"/>
            <w:rFonts w:ascii="Times New Roman" w:hAnsi="Times New Roman"/>
            <w:noProof/>
            <w:sz w:val="24"/>
            <w:szCs w:val="24"/>
          </w:rPr>
          <w:t>23.2. Процедура за сключване на договори за финансиране с крайните получатели и издаване на откази за предоставяне на средства</w:t>
        </w:r>
        <w:r w:rsidR="002D4688" w:rsidRPr="003474BD">
          <w:rPr>
            <w:noProof/>
            <w:webHidden/>
          </w:rPr>
          <w:tab/>
        </w:r>
        <w:r w:rsidR="002D4688" w:rsidRPr="003474BD">
          <w:rPr>
            <w:noProof/>
            <w:webHidden/>
          </w:rPr>
          <w:fldChar w:fldCharType="begin"/>
        </w:r>
        <w:r w:rsidR="002D4688" w:rsidRPr="003474BD">
          <w:rPr>
            <w:noProof/>
            <w:webHidden/>
          </w:rPr>
          <w:instrText xml:space="preserve"> PAGEREF _Toc166258063 \h </w:instrText>
        </w:r>
        <w:r w:rsidR="002D4688" w:rsidRPr="003474BD">
          <w:rPr>
            <w:noProof/>
            <w:webHidden/>
          </w:rPr>
        </w:r>
        <w:r w:rsidR="002D4688" w:rsidRPr="003474BD">
          <w:rPr>
            <w:noProof/>
            <w:webHidden/>
          </w:rPr>
          <w:fldChar w:fldCharType="separate"/>
        </w:r>
        <w:r w:rsidR="005B3926">
          <w:rPr>
            <w:noProof/>
            <w:webHidden/>
          </w:rPr>
          <w:t>42</w:t>
        </w:r>
        <w:r w:rsidR="002D4688" w:rsidRPr="003474BD">
          <w:rPr>
            <w:noProof/>
            <w:webHidden/>
          </w:rPr>
          <w:fldChar w:fldCharType="end"/>
        </w:r>
      </w:hyperlink>
    </w:p>
    <w:p w14:paraId="10B93166" w14:textId="7B88F557"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64" w:history="1">
        <w:r w:rsidR="002D4688" w:rsidRPr="003474BD">
          <w:rPr>
            <w:rStyle w:val="Hyperlink"/>
            <w:rFonts w:ascii="Times New Roman" w:hAnsi="Times New Roman"/>
            <w:noProof/>
            <w:sz w:val="24"/>
            <w:szCs w:val="24"/>
          </w:rPr>
          <w:t>24. Приложения към Условията за кандидатстване:</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_Toc166258064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50</w:t>
        </w:r>
        <w:r w:rsidR="002D4688" w:rsidRPr="003474BD">
          <w:rPr>
            <w:rFonts w:ascii="Times New Roman" w:hAnsi="Times New Roman"/>
            <w:noProof/>
            <w:webHidden/>
            <w:sz w:val="24"/>
            <w:szCs w:val="24"/>
          </w:rPr>
          <w:fldChar w:fldCharType="end"/>
        </w:r>
      </w:hyperlink>
    </w:p>
    <w:p w14:paraId="2BA8DE4A" w14:textId="3677A37F" w:rsidR="002D4688" w:rsidRPr="003474BD" w:rsidRDefault="00A434FE" w:rsidP="00060E40">
      <w:pPr>
        <w:pStyle w:val="TOC2"/>
        <w:rPr>
          <w:rFonts w:ascii="Times New Roman" w:eastAsiaTheme="minorEastAsia" w:hAnsi="Times New Roman"/>
          <w:noProof/>
          <w:kern w:val="2"/>
          <w:sz w:val="24"/>
          <w:szCs w:val="24"/>
          <w:lang w:eastAsia="en-GB"/>
          <w14:ligatures w14:val="standardContextual"/>
        </w:rPr>
      </w:pPr>
      <w:hyperlink w:anchor="_Toc166258065" w:history="1">
        <w:r w:rsidR="002D4688" w:rsidRPr="003474BD">
          <w:rPr>
            <w:rStyle w:val="Hyperlink"/>
            <w:rFonts w:ascii="Times New Roman" w:hAnsi="Times New Roman"/>
            <w:noProof/>
            <w:sz w:val="24"/>
            <w:szCs w:val="24"/>
          </w:rPr>
          <w:t>25. Списък на използваните съкращения:</w:t>
        </w:r>
        <w:r w:rsidR="002D4688" w:rsidRPr="003474BD">
          <w:rPr>
            <w:rFonts w:ascii="Times New Roman" w:hAnsi="Times New Roman"/>
            <w:noProof/>
            <w:webHidden/>
            <w:sz w:val="24"/>
            <w:szCs w:val="24"/>
          </w:rPr>
          <w:tab/>
        </w:r>
        <w:r w:rsidR="002D4688" w:rsidRPr="003474BD">
          <w:rPr>
            <w:rFonts w:ascii="Times New Roman" w:hAnsi="Times New Roman"/>
            <w:noProof/>
            <w:webHidden/>
            <w:sz w:val="24"/>
            <w:szCs w:val="24"/>
          </w:rPr>
          <w:fldChar w:fldCharType="begin"/>
        </w:r>
        <w:r w:rsidR="002D4688" w:rsidRPr="003474BD">
          <w:rPr>
            <w:rFonts w:ascii="Times New Roman" w:hAnsi="Times New Roman"/>
            <w:noProof/>
            <w:webHidden/>
            <w:sz w:val="24"/>
            <w:szCs w:val="24"/>
          </w:rPr>
          <w:instrText xml:space="preserve"> PAGEREF _Toc166258065 \h </w:instrText>
        </w:r>
        <w:r w:rsidR="002D4688" w:rsidRPr="003474BD">
          <w:rPr>
            <w:rFonts w:ascii="Times New Roman" w:hAnsi="Times New Roman"/>
            <w:noProof/>
            <w:webHidden/>
            <w:sz w:val="24"/>
            <w:szCs w:val="24"/>
          </w:rPr>
        </w:r>
        <w:r w:rsidR="002D4688" w:rsidRPr="003474BD">
          <w:rPr>
            <w:rFonts w:ascii="Times New Roman" w:hAnsi="Times New Roman"/>
            <w:noProof/>
            <w:webHidden/>
            <w:sz w:val="24"/>
            <w:szCs w:val="24"/>
          </w:rPr>
          <w:fldChar w:fldCharType="separate"/>
        </w:r>
        <w:r w:rsidR="005B3926">
          <w:rPr>
            <w:rFonts w:ascii="Times New Roman" w:hAnsi="Times New Roman"/>
            <w:noProof/>
            <w:webHidden/>
            <w:sz w:val="24"/>
            <w:szCs w:val="24"/>
          </w:rPr>
          <w:t>50</w:t>
        </w:r>
        <w:r w:rsidR="002D4688" w:rsidRPr="003474BD">
          <w:rPr>
            <w:rFonts w:ascii="Times New Roman" w:hAnsi="Times New Roman"/>
            <w:noProof/>
            <w:webHidden/>
            <w:sz w:val="24"/>
            <w:szCs w:val="24"/>
          </w:rPr>
          <w:fldChar w:fldCharType="end"/>
        </w:r>
      </w:hyperlink>
    </w:p>
    <w:p w14:paraId="42A65E02" w14:textId="08647442" w:rsidR="003F1496" w:rsidRPr="003474BD" w:rsidRDefault="003F1496" w:rsidP="00A42091">
      <w:pPr>
        <w:suppressAutoHyphens/>
        <w:spacing w:before="120" w:after="120" w:line="312" w:lineRule="auto"/>
        <w:jc w:val="both"/>
        <w:rPr>
          <w:b/>
          <w:bCs/>
        </w:rPr>
      </w:pPr>
      <w:r w:rsidRPr="003474BD">
        <w:rPr>
          <w:b/>
          <w:bCs/>
        </w:rPr>
        <w:fldChar w:fldCharType="end"/>
      </w:r>
    </w:p>
    <w:p w14:paraId="03713D6F" w14:textId="77777777" w:rsidR="003F1496" w:rsidRPr="003474BD" w:rsidRDefault="003F1496" w:rsidP="00A42091">
      <w:pPr>
        <w:suppressAutoHyphens/>
        <w:spacing w:before="120" w:after="120" w:line="312" w:lineRule="auto"/>
        <w:jc w:val="both"/>
        <w:rPr>
          <w:rFonts w:eastAsia="MS Gothic"/>
          <w:b/>
          <w:bCs/>
          <w:color w:val="5B9BD5"/>
        </w:rPr>
      </w:pPr>
      <w:r w:rsidRPr="003474BD">
        <w:br w:type="page"/>
      </w:r>
    </w:p>
    <w:p w14:paraId="2A4E8279"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5" w:name="_Toc106285917"/>
      <w:bookmarkStart w:id="6" w:name="_Toc166258032"/>
      <w:r w:rsidRPr="003474BD">
        <w:rPr>
          <w:rFonts w:ascii="Times New Roman" w:hAnsi="Times New Roman"/>
          <w:sz w:val="24"/>
          <w:szCs w:val="24"/>
        </w:rPr>
        <w:lastRenderedPageBreak/>
        <w:t>1. Компонент от Националния план за възстановяване и устойчивост:</w:t>
      </w:r>
      <w:bookmarkEnd w:id="5"/>
      <w:bookmarkEnd w:id="6"/>
    </w:p>
    <w:p w14:paraId="20F029CF" w14:textId="72A48508" w:rsidR="003F1496" w:rsidRPr="003474BD" w:rsidRDefault="003F1496" w:rsidP="00A42091">
      <w:pPr>
        <w:suppressAutoHyphens/>
        <w:spacing w:before="120" w:after="120" w:line="312" w:lineRule="auto"/>
        <w:jc w:val="both"/>
      </w:pPr>
      <w:r w:rsidRPr="003474BD">
        <w:t xml:space="preserve">Компонент </w:t>
      </w:r>
      <w:r w:rsidR="00DC5756" w:rsidRPr="003474BD">
        <w:t>"</w:t>
      </w:r>
      <w:r w:rsidRPr="003474BD">
        <w:t>Нисковъглеродна икономика</w:t>
      </w:r>
      <w:r w:rsidR="00DC5756" w:rsidRPr="003474BD">
        <w:t>"</w:t>
      </w:r>
      <w:r w:rsidRPr="003474BD">
        <w:t xml:space="preserve"> </w:t>
      </w:r>
      <w:r w:rsidR="006C19E1" w:rsidRPr="009E39E4">
        <w:t>от Националния план за възстановяване и устойчивост (НПВУ)</w:t>
      </w:r>
      <w:r w:rsidR="005D13D3">
        <w:t>.</w:t>
      </w:r>
    </w:p>
    <w:p w14:paraId="3880B979" w14:textId="77777777" w:rsidR="003F1496" w:rsidRPr="003474BD" w:rsidRDefault="003F1496" w:rsidP="00A42091">
      <w:pPr>
        <w:suppressAutoHyphens/>
        <w:spacing w:before="120" w:after="120" w:line="312" w:lineRule="auto"/>
        <w:jc w:val="both"/>
      </w:pPr>
    </w:p>
    <w:p w14:paraId="3D58378A"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7" w:name="_Toc106285918"/>
      <w:bookmarkStart w:id="8" w:name="_Toc166258033"/>
      <w:r w:rsidRPr="003474BD">
        <w:rPr>
          <w:rFonts w:ascii="Times New Roman" w:hAnsi="Times New Roman"/>
          <w:sz w:val="24"/>
          <w:szCs w:val="24"/>
        </w:rPr>
        <w:t>2. Наименование на инвестицията:</w:t>
      </w:r>
      <w:bookmarkEnd w:id="7"/>
      <w:bookmarkEnd w:id="8"/>
    </w:p>
    <w:p w14:paraId="6339F346" w14:textId="64CF8EEE" w:rsidR="00BF109B" w:rsidRPr="003474BD" w:rsidRDefault="003F1496" w:rsidP="00A42091">
      <w:pPr>
        <w:suppressAutoHyphens/>
        <w:spacing w:before="120" w:after="120" w:line="312" w:lineRule="auto"/>
        <w:jc w:val="both"/>
      </w:pPr>
      <w:r w:rsidRPr="003474BD">
        <w:t xml:space="preserve">Настоящата процедура </w:t>
      </w:r>
      <w:bookmarkStart w:id="9" w:name="_Hlk141096937"/>
      <w:r w:rsidRPr="003474BD">
        <w:t xml:space="preserve">за подбор на предложения е </w:t>
      </w:r>
      <w:bookmarkEnd w:id="9"/>
      <w:r w:rsidRPr="003474BD">
        <w:t xml:space="preserve">за изпълнение на </w:t>
      </w:r>
      <w:bookmarkStart w:id="10" w:name="_Hlk165457542"/>
      <w:r w:rsidRPr="003474BD">
        <w:t>Инвестиция</w:t>
      </w:r>
      <w:r w:rsidR="00B47893" w:rsidRPr="003474BD">
        <w:t> 8</w:t>
      </w:r>
      <w:r w:rsidRPr="003474BD">
        <w:t xml:space="preserve"> </w:t>
      </w:r>
      <w:r w:rsidR="00DC5756" w:rsidRPr="003474BD">
        <w:t>"</w:t>
      </w:r>
      <w:r w:rsidR="00B47893" w:rsidRPr="003474BD">
        <w:t xml:space="preserve">Национална инфраструктура за съхранение на електрическа енергия </w:t>
      </w:r>
      <w:r w:rsidR="00FD50B9" w:rsidRPr="00FD50B9">
        <w:t>от възобновяеми източници</w:t>
      </w:r>
      <w:r w:rsidR="00FD50B9" w:rsidRPr="003474BD">
        <w:t xml:space="preserve"> </w:t>
      </w:r>
      <w:r w:rsidR="00B47893" w:rsidRPr="003474BD">
        <w:t>(RESTORE)</w:t>
      </w:r>
      <w:r w:rsidR="00DC5756" w:rsidRPr="003474BD">
        <w:t>"</w:t>
      </w:r>
      <w:r w:rsidRPr="003474BD">
        <w:t xml:space="preserve"> (C4.I</w:t>
      </w:r>
      <w:r w:rsidR="00B47893" w:rsidRPr="003474BD">
        <w:t>8</w:t>
      </w:r>
      <w:r w:rsidRPr="003474BD">
        <w:t xml:space="preserve">) от </w:t>
      </w:r>
      <w:r w:rsidRPr="009E39E4">
        <w:t>НПВУ</w:t>
      </w:r>
      <w:bookmarkEnd w:id="10"/>
      <w:r w:rsidRPr="009E39E4">
        <w:t>.</w:t>
      </w:r>
    </w:p>
    <w:p w14:paraId="7C578823" w14:textId="212C211D" w:rsidR="003F1496" w:rsidRPr="003474BD" w:rsidRDefault="003F1496" w:rsidP="00A42091">
      <w:pPr>
        <w:suppressAutoHyphens/>
        <w:spacing w:before="120" w:after="120" w:line="312" w:lineRule="auto"/>
        <w:jc w:val="both"/>
      </w:pPr>
      <w:r w:rsidRPr="003474BD">
        <w:t xml:space="preserve">Министерство на енергетиката (МЕ) е определено за Структура за наблюдение и докладване (СНД) </w:t>
      </w:r>
      <w:r w:rsidR="00BD2BCE" w:rsidRPr="003474BD">
        <w:t xml:space="preserve">от </w:t>
      </w:r>
      <w:r w:rsidR="00CD6DCD" w:rsidRPr="003474BD">
        <w:t>Министерски</w:t>
      </w:r>
      <w:r w:rsidR="00BD2BCE" w:rsidRPr="003474BD">
        <w:t xml:space="preserve"> съвет</w:t>
      </w:r>
      <w:r w:rsidR="00BD2BCE" w:rsidRPr="003474BD">
        <w:rPr>
          <w:rStyle w:val="FootnoteReference"/>
        </w:rPr>
        <w:footnoteReference w:id="2"/>
      </w:r>
      <w:r w:rsidRPr="003474BD">
        <w:t xml:space="preserve"> и е отговорно за изпълнението на инвестиция С4.I</w:t>
      </w:r>
      <w:r w:rsidR="00B47893" w:rsidRPr="003474BD">
        <w:t>8</w:t>
      </w:r>
      <w:r w:rsidRPr="003474BD">
        <w:t xml:space="preserve">. </w:t>
      </w:r>
    </w:p>
    <w:p w14:paraId="450EB335" w14:textId="77777777" w:rsidR="003F1496" w:rsidRPr="003474BD" w:rsidRDefault="003F1496" w:rsidP="00A42091">
      <w:pPr>
        <w:suppressAutoHyphens/>
        <w:spacing w:before="120" w:after="120" w:line="312" w:lineRule="auto"/>
        <w:jc w:val="both"/>
      </w:pPr>
    </w:p>
    <w:p w14:paraId="5FFDC1E8"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11" w:name="_Toc106285919"/>
      <w:bookmarkStart w:id="12" w:name="_Toc166258034"/>
      <w:r w:rsidRPr="003474BD">
        <w:rPr>
          <w:rFonts w:ascii="Times New Roman" w:hAnsi="Times New Roman"/>
          <w:sz w:val="24"/>
          <w:szCs w:val="24"/>
        </w:rPr>
        <w:t>3. Наименование на процедурата:</w:t>
      </w:r>
      <w:bookmarkEnd w:id="11"/>
      <w:bookmarkEnd w:id="12"/>
    </w:p>
    <w:p w14:paraId="44B8E156" w14:textId="2B229006" w:rsidR="003F1496" w:rsidRPr="003474BD" w:rsidRDefault="006C19E1" w:rsidP="00A42091">
      <w:pPr>
        <w:suppressAutoHyphens/>
        <w:spacing w:before="120" w:after="120" w:line="312" w:lineRule="auto"/>
        <w:jc w:val="both"/>
        <w:rPr>
          <w:b/>
        </w:rPr>
      </w:pPr>
      <w:r w:rsidRPr="003474BD">
        <w:rPr>
          <w:b/>
        </w:rPr>
        <w:t>Процедура 1 „Национална инфраструктура за съхранение на електрическа енергия</w:t>
      </w:r>
      <w:r w:rsidR="00FD50B9">
        <w:rPr>
          <w:b/>
          <w:lang w:val="en-US"/>
        </w:rPr>
        <w:t xml:space="preserve"> </w:t>
      </w:r>
      <w:r w:rsidR="00FD50B9" w:rsidRPr="00FD50B9">
        <w:rPr>
          <w:b/>
        </w:rPr>
        <w:t>от възобновяеми източници</w:t>
      </w:r>
      <w:r w:rsidRPr="003474BD">
        <w:rPr>
          <w:b/>
        </w:rPr>
        <w:t>“</w:t>
      </w:r>
    </w:p>
    <w:p w14:paraId="27CDD880" w14:textId="77777777" w:rsidR="00F60EA3" w:rsidRPr="003474BD" w:rsidRDefault="00F60EA3" w:rsidP="00A42091">
      <w:pPr>
        <w:suppressAutoHyphens/>
        <w:spacing w:before="120" w:after="120" w:line="312" w:lineRule="auto"/>
        <w:jc w:val="both"/>
      </w:pPr>
    </w:p>
    <w:p w14:paraId="03A96A46"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13" w:name="_Toc106285920"/>
      <w:bookmarkStart w:id="14" w:name="_Toc166258035"/>
      <w:r w:rsidRPr="003474BD">
        <w:rPr>
          <w:rFonts w:ascii="Times New Roman" w:hAnsi="Times New Roman"/>
          <w:sz w:val="24"/>
          <w:szCs w:val="24"/>
        </w:rPr>
        <w:t>4. Териториален обхват:</w:t>
      </w:r>
      <w:bookmarkEnd w:id="13"/>
      <w:bookmarkEnd w:id="14"/>
    </w:p>
    <w:p w14:paraId="155EC497" w14:textId="6519A341" w:rsidR="003F1496" w:rsidRPr="003474BD" w:rsidRDefault="003F1496" w:rsidP="00A42091">
      <w:pPr>
        <w:suppressAutoHyphens/>
        <w:spacing w:before="120" w:after="120" w:line="312" w:lineRule="auto"/>
        <w:jc w:val="both"/>
        <w:rPr>
          <w:color w:val="000000" w:themeColor="text1"/>
        </w:rPr>
      </w:pPr>
      <w:r w:rsidRPr="003474BD">
        <w:t xml:space="preserve">Предложенията за </w:t>
      </w:r>
      <w:r w:rsidR="006C19E1" w:rsidRPr="003474BD">
        <w:t xml:space="preserve">проекти по Процедура 1 за </w:t>
      </w:r>
      <w:r w:rsidRPr="003474BD">
        <w:t>изпълнение на инвестиция</w:t>
      </w:r>
      <w:r w:rsidR="006C19E1" w:rsidRPr="003474BD">
        <w:t>та</w:t>
      </w:r>
      <w:r w:rsidRPr="003474BD">
        <w:t xml:space="preserve"> следва да бъдат изпълнени на територията на Република България. </w:t>
      </w:r>
    </w:p>
    <w:p w14:paraId="6FA8A16E" w14:textId="77777777" w:rsidR="003F1496" w:rsidRPr="003474BD" w:rsidRDefault="003F1496" w:rsidP="00A42091">
      <w:pPr>
        <w:suppressAutoHyphens/>
        <w:spacing w:before="120" w:after="120" w:line="312" w:lineRule="auto"/>
        <w:jc w:val="both"/>
      </w:pPr>
    </w:p>
    <w:p w14:paraId="3345EB3A"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15" w:name="_Toc106285921"/>
      <w:bookmarkStart w:id="16" w:name="_Toc166258036"/>
      <w:r w:rsidRPr="003474BD">
        <w:rPr>
          <w:rFonts w:ascii="Times New Roman" w:hAnsi="Times New Roman"/>
          <w:sz w:val="24"/>
          <w:szCs w:val="24"/>
        </w:rPr>
        <w:t>5. Цели на получаваните безвъзмездни средства по процедурата и очаквани резултати:</w:t>
      </w:r>
      <w:bookmarkEnd w:id="15"/>
      <w:bookmarkEnd w:id="16"/>
    </w:p>
    <w:p w14:paraId="1C5DEA10" w14:textId="54DB3724" w:rsidR="003F1496" w:rsidRPr="003474BD" w:rsidRDefault="003F1496" w:rsidP="00A42091">
      <w:pPr>
        <w:suppressAutoHyphens/>
        <w:spacing w:before="120" w:after="120" w:line="312" w:lineRule="auto"/>
        <w:jc w:val="both"/>
      </w:pPr>
      <w:r w:rsidRPr="003474BD">
        <w:t>Настоящата процедура</w:t>
      </w:r>
      <w:r w:rsidR="006C19E1" w:rsidRPr="003474BD">
        <w:t xml:space="preserve"> 1</w:t>
      </w:r>
      <w:r w:rsidRPr="003474BD">
        <w:t xml:space="preserve"> е в изпълнение на </w:t>
      </w:r>
      <w:r w:rsidR="00B47893" w:rsidRPr="003474BD">
        <w:t xml:space="preserve">Инвестиция 8 </w:t>
      </w:r>
      <w:r w:rsidR="00DC5756" w:rsidRPr="003474BD">
        <w:t>"</w:t>
      </w:r>
      <w:r w:rsidR="00B47893" w:rsidRPr="003474BD">
        <w:t>Национална инфраструктура за съхранение на електрическа енергия</w:t>
      </w:r>
      <w:r w:rsidR="00FD50B9">
        <w:rPr>
          <w:lang w:val="en-US"/>
        </w:rPr>
        <w:t xml:space="preserve"> </w:t>
      </w:r>
      <w:r w:rsidR="00FD50B9" w:rsidRPr="00FD50B9">
        <w:t>от възобновяеми източници</w:t>
      </w:r>
      <w:r w:rsidR="00B47893" w:rsidRPr="003474BD">
        <w:t xml:space="preserve"> (RESTORE)</w:t>
      </w:r>
      <w:r w:rsidR="00DC5756" w:rsidRPr="003474BD">
        <w:t>"</w:t>
      </w:r>
      <w:r w:rsidR="00B47893" w:rsidRPr="003474BD">
        <w:t xml:space="preserve"> от НПВУ</w:t>
      </w:r>
      <w:r w:rsidRPr="003474BD">
        <w:t xml:space="preserve">. </w:t>
      </w:r>
    </w:p>
    <w:p w14:paraId="6E3CEC54" w14:textId="77E20312" w:rsidR="006C19E1" w:rsidRPr="003474BD" w:rsidRDefault="003F1496" w:rsidP="006C19E1">
      <w:pPr>
        <w:suppressAutoHyphens/>
        <w:spacing w:before="120" w:after="120" w:line="312" w:lineRule="auto"/>
        <w:jc w:val="both"/>
      </w:pPr>
      <w:r w:rsidRPr="009E39E4">
        <w:rPr>
          <w:b/>
          <w:bCs/>
        </w:rPr>
        <w:t>Основната цел</w:t>
      </w:r>
      <w:r w:rsidRPr="009E39E4">
        <w:t xml:space="preserve"> на инвестицията </w:t>
      </w:r>
      <w:r w:rsidR="00916943" w:rsidRPr="009E39E4">
        <w:t xml:space="preserve">е </w:t>
      </w:r>
      <w:r w:rsidR="006C19E1" w:rsidRPr="009E39E4">
        <w:t>да</w:t>
      </w:r>
      <w:r w:rsidR="006C19E1" w:rsidRPr="003474BD">
        <w:t xml:space="preserve"> се </w:t>
      </w:r>
      <w:r w:rsidR="006C19E1" w:rsidRPr="009E39E4">
        <w:t xml:space="preserve">даде възможност за значително увеличаване на дела на енергията от възобновяеми източници (вятърна и слънчева) в енергийния микс и да се гарантира сигурността, стабилността и готовността на българската </w:t>
      </w:r>
      <w:r w:rsidR="006C19E1" w:rsidRPr="009E39E4">
        <w:lastRenderedPageBreak/>
        <w:t>електроенергийна система. Инвестицията се състои в подкрепа за изграждане и въвеждане в експлоатация на национална инфраструктура от съоръжения за съхранение на електроенергия</w:t>
      </w:r>
      <w:r w:rsidR="00FD50B9">
        <w:t xml:space="preserve"> </w:t>
      </w:r>
      <w:r w:rsidR="00FD50B9" w:rsidRPr="00FD50B9">
        <w:t>от възобновяеми източници</w:t>
      </w:r>
      <w:r w:rsidR="006C19E1" w:rsidRPr="009E39E4">
        <w:t xml:space="preserve"> с поне 3000 MWh използваем енергиен капацитет на равнището на електроенергийната мрежа. Съоръженията за съхранение ще бъдат разпределени на територията на България и присъединени към електропреносната мрежа на ЕСО ЕАД. Изпълнението се осъществява чрез открити и конкурентни тръжни процедури въз основа на ясни, прозрачни и недискриминационни критерии за подбор на предложенията. Тя също така ще допринесе за изграждането на интелигентни мрежи, като гарантира висока степен на балансиране и управление на претоварването на мрежите, което е необходимо за интегриране на електроенергията, произведена от възобновяеми енергийни източници.</w:t>
      </w:r>
    </w:p>
    <w:p w14:paraId="5FA60D98" w14:textId="706BC7ED" w:rsidR="003F1496" w:rsidRPr="003474BD" w:rsidRDefault="003F1496" w:rsidP="00A42091">
      <w:pPr>
        <w:suppressAutoHyphens/>
        <w:spacing w:before="120" w:after="120" w:line="312" w:lineRule="auto"/>
        <w:jc w:val="both"/>
      </w:pPr>
      <w:r w:rsidRPr="003474BD">
        <w:t xml:space="preserve">По настоящата процедура ще се осигури предоставяне на CAPEX подкрепа </w:t>
      </w:r>
      <w:bookmarkStart w:id="17" w:name="_Hlk141097000"/>
      <w:r w:rsidRPr="003474BD">
        <w:t xml:space="preserve">за </w:t>
      </w:r>
      <w:bookmarkEnd w:id="17"/>
      <w:r w:rsidR="007D03ED" w:rsidRPr="003474BD">
        <w:t xml:space="preserve">изграждане </w:t>
      </w:r>
      <w:r w:rsidR="00A67A72" w:rsidRPr="003474BD">
        <w:t xml:space="preserve">и въвеждане в експлоатация на </w:t>
      </w:r>
      <w:r w:rsidR="00C807BE" w:rsidRPr="003474BD">
        <w:t xml:space="preserve">самостоятелни </w:t>
      </w:r>
      <w:r w:rsidR="009324AB" w:rsidRPr="003474BD">
        <w:t>съоръжения</w:t>
      </w:r>
      <w:r w:rsidR="00A67A72" w:rsidRPr="003474BD">
        <w:t xml:space="preserve"> за съхранение на </w:t>
      </w:r>
      <w:r w:rsidR="00C807BE" w:rsidRPr="003474BD">
        <w:t xml:space="preserve">електрическа енергия </w:t>
      </w:r>
      <w:r w:rsidR="00CF58E7" w:rsidRPr="003474BD">
        <w:t xml:space="preserve">на ниво </w:t>
      </w:r>
      <w:r w:rsidR="00D40189" w:rsidRPr="003474BD">
        <w:t xml:space="preserve">електропреносна </w:t>
      </w:r>
      <w:r w:rsidR="00BF109B" w:rsidRPr="003474BD">
        <w:t>м</w:t>
      </w:r>
      <w:r w:rsidR="00CF58E7" w:rsidRPr="003474BD">
        <w:t xml:space="preserve">режа </w:t>
      </w:r>
      <w:r w:rsidR="00A67A72" w:rsidRPr="003474BD">
        <w:t xml:space="preserve">с </w:t>
      </w:r>
      <w:r w:rsidR="00CF58E7" w:rsidRPr="003474BD">
        <w:t xml:space="preserve">поне </w:t>
      </w:r>
      <w:r w:rsidR="00A67A72" w:rsidRPr="003474BD">
        <w:t>3 000 MWh</w:t>
      </w:r>
      <w:r w:rsidR="00CF58E7" w:rsidRPr="003474BD">
        <w:t xml:space="preserve"> енергиен капацитет</w:t>
      </w:r>
      <w:r w:rsidR="00A67A72" w:rsidRPr="003474BD">
        <w:t xml:space="preserve">. </w:t>
      </w:r>
    </w:p>
    <w:p w14:paraId="00647590" w14:textId="42C8F6E9" w:rsidR="003F1496" w:rsidRPr="003474BD" w:rsidRDefault="003F1496" w:rsidP="00A42091">
      <w:pPr>
        <w:suppressAutoHyphens/>
        <w:spacing w:before="120" w:after="120" w:line="312" w:lineRule="auto"/>
        <w:jc w:val="both"/>
      </w:pPr>
      <w:r w:rsidRPr="003474BD">
        <w:rPr>
          <w:b/>
        </w:rPr>
        <w:t>Очакваният ефект</w:t>
      </w:r>
      <w:r w:rsidRPr="003474BD">
        <w:t xml:space="preserve"> е </w:t>
      </w:r>
      <w:r w:rsidR="0046639D" w:rsidRPr="003474BD">
        <w:t xml:space="preserve">успешното </w:t>
      </w:r>
      <w:r w:rsidRPr="003474BD">
        <w:t xml:space="preserve">интегриране в мрежата </w:t>
      </w:r>
      <w:r w:rsidR="0046639D" w:rsidRPr="003474BD">
        <w:t xml:space="preserve">на </w:t>
      </w:r>
      <w:r w:rsidR="0062560F" w:rsidRPr="009E39E4">
        <w:t xml:space="preserve">съоръжения за съхранение на електрическа енергия на ниво електропреносна мрежа с поне 3 000 MWh, което ще подкрепи </w:t>
      </w:r>
      <w:r w:rsidR="0046639D" w:rsidRPr="009E39E4">
        <w:t xml:space="preserve">съществуващите и нови производствени мощности </w:t>
      </w:r>
      <w:r w:rsidRPr="009E39E4">
        <w:t>без да се застраши сигурността и стабилността на електроенергийната система</w:t>
      </w:r>
      <w:r w:rsidR="0046639D" w:rsidRPr="009E39E4">
        <w:t>, като по този начин се допринесе за увеличаване на дела на електроенергия от възобновяеми енергийни източници</w:t>
      </w:r>
      <w:r w:rsidR="0062560F" w:rsidRPr="009E39E4">
        <w:t xml:space="preserve"> и декарбонизация на сектора</w:t>
      </w:r>
      <w:r w:rsidRPr="009E39E4">
        <w:t xml:space="preserve">. </w:t>
      </w:r>
    </w:p>
    <w:p w14:paraId="28FEB3A9" w14:textId="0F1E30EB" w:rsidR="003F1496" w:rsidRPr="003474BD" w:rsidRDefault="0062560F" w:rsidP="00A42091">
      <w:pPr>
        <w:suppressAutoHyphens/>
        <w:spacing w:before="120" w:after="120" w:line="312" w:lineRule="auto"/>
        <w:jc w:val="both"/>
      </w:pPr>
      <w:r w:rsidRPr="009E39E4">
        <w:t xml:space="preserve">Проектите по </w:t>
      </w:r>
      <w:r w:rsidR="003F1496" w:rsidRPr="009E39E4">
        <w:t xml:space="preserve">процедурата ще са съобразени с изискванията на принципа за </w:t>
      </w:r>
      <w:r w:rsidR="00DC5756" w:rsidRPr="009E39E4">
        <w:t>"</w:t>
      </w:r>
      <w:r w:rsidR="003F1496" w:rsidRPr="009E39E4">
        <w:t>ненанасяне на значителни вреди</w:t>
      </w:r>
      <w:r w:rsidR="00DC5756" w:rsidRPr="009E39E4">
        <w:t>"</w:t>
      </w:r>
      <w:r w:rsidR="003F1496" w:rsidRPr="009E39E4">
        <w:rPr>
          <w:vertAlign w:val="superscript"/>
        </w:rPr>
        <w:footnoteReference w:id="3"/>
      </w:r>
      <w:r w:rsidR="003F1496" w:rsidRPr="009E39E4">
        <w:rPr>
          <w:vertAlign w:val="superscript"/>
        </w:rPr>
        <w:t xml:space="preserve"> </w:t>
      </w:r>
      <w:r w:rsidR="003F1496" w:rsidRPr="009E39E4">
        <w:t>върху околната среда.</w:t>
      </w:r>
    </w:p>
    <w:p w14:paraId="4E3F2387"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18" w:name="_Toc106285922"/>
      <w:bookmarkStart w:id="19" w:name="_Toc166258037"/>
      <w:r w:rsidRPr="003474BD">
        <w:rPr>
          <w:rFonts w:ascii="Times New Roman" w:hAnsi="Times New Roman"/>
          <w:sz w:val="24"/>
          <w:szCs w:val="24"/>
        </w:rPr>
        <w:t>6. Индикатори:</w:t>
      </w:r>
      <w:bookmarkEnd w:id="18"/>
      <w:bookmarkEnd w:id="19"/>
    </w:p>
    <w:p w14:paraId="6742BEB1" w14:textId="77777777" w:rsidR="003F1496" w:rsidRPr="003474BD" w:rsidRDefault="003F1496" w:rsidP="00A42091">
      <w:pPr>
        <w:suppressAutoHyphens/>
        <w:spacing w:before="120" w:after="120" w:line="312" w:lineRule="auto"/>
        <w:jc w:val="both"/>
      </w:pPr>
      <w:r w:rsidRPr="003474BD">
        <w:t>Общи индикатори, свързани с подкрепата по линия на Механизма за възстановяване и устойчивост:</w:t>
      </w:r>
    </w:p>
    <w:p w14:paraId="4549617D" w14:textId="75DCAC09" w:rsidR="00E92E22" w:rsidRPr="009E39E4" w:rsidRDefault="00E92E22" w:rsidP="004F5A4B">
      <w:pPr>
        <w:suppressAutoHyphens/>
        <w:spacing w:before="120" w:after="120" w:line="312" w:lineRule="auto"/>
        <w:ind w:left="567" w:hanging="567"/>
        <w:jc w:val="both"/>
      </w:pPr>
      <w:r w:rsidRPr="009E39E4">
        <w:t>-</w:t>
      </w:r>
      <w:r w:rsidRPr="009E39E4">
        <w:tab/>
      </w:r>
      <w:r w:rsidR="00AC57FD" w:rsidRPr="009E39E4">
        <w:t>В</w:t>
      </w:r>
      <w:r w:rsidR="004F5A4B" w:rsidRPr="009E39E4">
        <w:t xml:space="preserve">ъведен в експлоатация </w:t>
      </w:r>
      <w:r w:rsidR="00F3262E" w:rsidRPr="009E39E4">
        <w:t xml:space="preserve">използваем енергиен </w:t>
      </w:r>
      <w:r w:rsidRPr="009E39E4">
        <w:t xml:space="preserve">капацитет за съхранение </w:t>
      </w:r>
      <w:r w:rsidR="00F3262E" w:rsidRPr="009E39E4">
        <w:t xml:space="preserve">на </w:t>
      </w:r>
      <w:r w:rsidR="00C807BE" w:rsidRPr="009E39E4">
        <w:t>електрическа енергия</w:t>
      </w:r>
      <w:r w:rsidR="00F3262E" w:rsidRPr="009E39E4">
        <w:t xml:space="preserve"> </w:t>
      </w:r>
      <w:r w:rsidR="004F5A4B" w:rsidRPr="009E39E4">
        <w:t>(</w:t>
      </w:r>
      <w:r w:rsidR="00F3262E" w:rsidRPr="009E39E4">
        <w:t xml:space="preserve">в </w:t>
      </w:r>
      <w:r w:rsidR="004F5A4B" w:rsidRPr="009E39E4">
        <w:t>MWh)</w:t>
      </w:r>
    </w:p>
    <w:p w14:paraId="7101AE8F" w14:textId="4AAAF4A6" w:rsidR="003F1496" w:rsidRPr="003474BD" w:rsidRDefault="00F3262E" w:rsidP="00F3262E">
      <w:pPr>
        <w:suppressAutoHyphens/>
        <w:spacing w:before="120" w:after="120" w:line="312" w:lineRule="auto"/>
        <w:ind w:left="567"/>
        <w:jc w:val="both"/>
      </w:pPr>
      <w:bookmarkStart w:id="20" w:name="_Hlk165479232"/>
      <w:bookmarkStart w:id="21" w:name="_Hlk143160741"/>
      <w:r w:rsidRPr="003474BD">
        <w:lastRenderedPageBreak/>
        <w:t>Н</w:t>
      </w:r>
      <w:r w:rsidR="003F1496" w:rsidRPr="003474BD">
        <w:t>ов</w:t>
      </w:r>
      <w:r w:rsidR="00D800EC" w:rsidRPr="003474BD">
        <w:rPr>
          <w:rStyle w:val="FootnoteReference"/>
        </w:rPr>
        <w:footnoteReference w:id="4"/>
      </w:r>
      <w:r w:rsidR="003F1496" w:rsidRPr="003474BD">
        <w:t xml:space="preserve"> </w:t>
      </w:r>
      <w:r w:rsidRPr="003474BD">
        <w:t xml:space="preserve">използваем енергиен </w:t>
      </w:r>
      <w:r w:rsidR="003F1496" w:rsidRPr="003474BD">
        <w:t>капацитет</w:t>
      </w:r>
      <w:r w:rsidRPr="003474BD">
        <w:t xml:space="preserve"> за съхранение на електр</w:t>
      </w:r>
      <w:r w:rsidR="00A0548B" w:rsidRPr="003474BD">
        <w:t>ическа енергия</w:t>
      </w:r>
      <w:r w:rsidRPr="003474BD">
        <w:t xml:space="preserve"> от съществуващи и</w:t>
      </w:r>
      <w:r w:rsidR="008922B9" w:rsidRPr="003474BD">
        <w:t>/или</w:t>
      </w:r>
      <w:r w:rsidRPr="003474BD">
        <w:t xml:space="preserve"> нови </w:t>
      </w:r>
      <w:r w:rsidR="00BE6F00" w:rsidRPr="003474BD">
        <w:t>енергийни обекти за производство на електрическа енергия</w:t>
      </w:r>
      <w:bookmarkEnd w:id="20"/>
      <w:r w:rsidR="003F1496" w:rsidRPr="003474BD">
        <w:t xml:space="preserve">, </w:t>
      </w:r>
      <w:r w:rsidR="008922B9" w:rsidRPr="003474BD">
        <w:t xml:space="preserve">изграден и въведен в експлоатация </w:t>
      </w:r>
      <w:r w:rsidR="003F1496" w:rsidRPr="003474BD">
        <w:t>в резултат на подкрепата от мерки по линия на Механизма</w:t>
      </w:r>
      <w:r w:rsidR="003F5FE1">
        <w:rPr>
          <w:lang w:val="en-US"/>
        </w:rPr>
        <w:t xml:space="preserve"> </w:t>
      </w:r>
      <w:r w:rsidR="003F5FE1">
        <w:t>за възстановяване и устойчивост</w:t>
      </w:r>
      <w:r w:rsidR="009417A7">
        <w:t xml:space="preserve"> / Механизма</w:t>
      </w:r>
      <w:r w:rsidR="003F1496" w:rsidRPr="003474BD">
        <w:t xml:space="preserve"> (т.е. свързан е с </w:t>
      </w:r>
      <w:r w:rsidR="007018A7" w:rsidRPr="003474BD">
        <w:t xml:space="preserve">електропреносната </w:t>
      </w:r>
      <w:r w:rsidR="003F1496" w:rsidRPr="003474BD">
        <w:t xml:space="preserve">мрежа и </w:t>
      </w:r>
      <w:bookmarkEnd w:id="21"/>
      <w:r w:rsidR="008922B9" w:rsidRPr="003474BD">
        <w:t>функционира</w:t>
      </w:r>
      <w:r w:rsidR="003F1496" w:rsidRPr="003474BD">
        <w:t xml:space="preserve">). </w:t>
      </w:r>
      <w:r w:rsidR="008922B9" w:rsidRPr="003474BD">
        <w:t>Използваемият енергиен капаците</w:t>
      </w:r>
      <w:r w:rsidR="0062560F" w:rsidRPr="003474BD">
        <w:t>т</w:t>
      </w:r>
      <w:r w:rsidR="008922B9" w:rsidRPr="003474BD">
        <w:t xml:space="preserve"> за съхранение се измерва в MWh</w:t>
      </w:r>
      <w:r w:rsidR="003F1496" w:rsidRPr="003474BD">
        <w:t>.</w:t>
      </w:r>
    </w:p>
    <w:p w14:paraId="5C909F43" w14:textId="49535AFF" w:rsidR="003F1496" w:rsidRPr="003474BD" w:rsidRDefault="003F1496" w:rsidP="00A42091">
      <w:pPr>
        <w:suppressAutoHyphens/>
        <w:spacing w:before="120" w:after="120" w:line="312" w:lineRule="auto"/>
        <w:jc w:val="both"/>
        <w:rPr>
          <w:b/>
          <w:bCs/>
        </w:rPr>
      </w:pPr>
      <w:r w:rsidRPr="003474BD">
        <w:rPr>
          <w:b/>
          <w:bCs/>
        </w:rPr>
        <w:t>Крайна цел, свързана с изпълнението на инвестицията</w:t>
      </w:r>
    </w:p>
    <w:p w14:paraId="333AADB3" w14:textId="77777777" w:rsidR="003F1496" w:rsidRPr="003474BD" w:rsidRDefault="003F1496" w:rsidP="00A42091">
      <w:pPr>
        <w:suppressAutoHyphens/>
        <w:spacing w:before="120" w:after="120" w:line="312" w:lineRule="auto"/>
        <w:jc w:val="both"/>
      </w:pPr>
      <w:r w:rsidRPr="003474BD">
        <w:t xml:space="preserve">Министерство на енергетиката ще следи за изпълнението и отчитането на следните </w:t>
      </w:r>
      <w:r w:rsidRPr="003474BD">
        <w:rPr>
          <w:b/>
        </w:rPr>
        <w:t>индикатори, свързани с изпълнението на инвестицията</w:t>
      </w:r>
      <w:r w:rsidRPr="003474BD">
        <w:t>:</w:t>
      </w:r>
    </w:p>
    <w:p w14:paraId="3AC7B124" w14:textId="2DC0BC99" w:rsidR="003F1496" w:rsidRPr="003474BD" w:rsidRDefault="00652F41" w:rsidP="00652F41">
      <w:pPr>
        <w:suppressAutoHyphens/>
        <w:spacing w:before="120" w:after="120" w:line="312" w:lineRule="auto"/>
        <w:ind w:left="567" w:hanging="567"/>
        <w:jc w:val="both"/>
      </w:pPr>
      <w:r w:rsidRPr="009E39E4">
        <w:t>-</w:t>
      </w:r>
      <w:r w:rsidRPr="009E39E4">
        <w:tab/>
      </w:r>
      <w:bookmarkStart w:id="22" w:name="_Hlk165461380"/>
      <w:r w:rsidR="00E8378E" w:rsidRPr="009E39E4">
        <w:t>Нов и</w:t>
      </w:r>
      <w:r w:rsidR="00244BA2" w:rsidRPr="009E39E4">
        <w:t>зползваем енергиен</w:t>
      </w:r>
      <w:r w:rsidR="003F1496" w:rsidRPr="003474BD">
        <w:t xml:space="preserve"> капацитет на </w:t>
      </w:r>
      <w:r w:rsidR="007D03ED" w:rsidRPr="003474BD">
        <w:t xml:space="preserve">изградените </w:t>
      </w:r>
      <w:r w:rsidR="005F4E6C" w:rsidRPr="003474BD">
        <w:t xml:space="preserve">и въведени в експлоатация </w:t>
      </w:r>
      <w:r w:rsidR="00C807BE" w:rsidRPr="003474BD">
        <w:t xml:space="preserve">самостоятелни съоръжения </w:t>
      </w:r>
      <w:r w:rsidRPr="009E39E4">
        <w:t>за съхранение на електр</w:t>
      </w:r>
      <w:r w:rsidR="00C807BE" w:rsidRPr="009E39E4">
        <w:t>ическа енергия</w:t>
      </w:r>
      <w:r w:rsidRPr="009E39E4">
        <w:t xml:space="preserve"> </w:t>
      </w:r>
      <w:bookmarkEnd w:id="22"/>
      <w:r w:rsidRPr="009E39E4">
        <w:t>(в MWh)</w:t>
      </w:r>
      <w:r w:rsidR="00D40189" w:rsidRPr="009E39E4">
        <w:t>, присъединени към електропреносната мрежа</w:t>
      </w:r>
      <w:r w:rsidR="003F1496" w:rsidRPr="003474BD">
        <w:t>.</w:t>
      </w:r>
    </w:p>
    <w:p w14:paraId="354FEE2D" w14:textId="77777777" w:rsidR="004C35B9" w:rsidRPr="003474BD" w:rsidRDefault="00652F41" w:rsidP="00D800EC">
      <w:pPr>
        <w:suppressAutoHyphens/>
        <w:spacing w:before="120" w:after="120" w:line="312" w:lineRule="auto"/>
        <w:ind w:left="567"/>
        <w:jc w:val="both"/>
      </w:pPr>
      <w:r w:rsidRPr="003474BD">
        <w:t xml:space="preserve">Базовата стойност на индикатора e </w:t>
      </w:r>
      <w:r w:rsidR="00DC5756" w:rsidRPr="003474BD">
        <w:t>"</w:t>
      </w:r>
      <w:r w:rsidRPr="003474BD">
        <w:t>0</w:t>
      </w:r>
      <w:r w:rsidR="00DC5756" w:rsidRPr="003474BD">
        <w:t>"</w:t>
      </w:r>
      <w:r w:rsidRPr="003474BD">
        <w:t xml:space="preserve"> и следва да бъде въведена от кандидата. Кандидатът следва задължително да попълни </w:t>
      </w:r>
      <w:r w:rsidR="00244BA2" w:rsidRPr="003474BD">
        <w:t xml:space="preserve">и </w:t>
      </w:r>
      <w:r w:rsidRPr="003474BD">
        <w:t xml:space="preserve">целевата стойност на индикатора, която да съответства на капацитета на </w:t>
      </w:r>
      <w:r w:rsidR="00A0548B" w:rsidRPr="003474BD">
        <w:t>съоръжението</w:t>
      </w:r>
      <w:r w:rsidRPr="003474BD">
        <w:t xml:space="preserve"> за съхранение на </w:t>
      </w:r>
      <w:r w:rsidR="00C807BE" w:rsidRPr="003474BD">
        <w:t xml:space="preserve">електрическа енергия </w:t>
      </w:r>
      <w:r w:rsidRPr="003474BD">
        <w:t xml:space="preserve"> (в MWh), подкрепен</w:t>
      </w:r>
      <w:r w:rsidR="00A0548B" w:rsidRPr="003474BD">
        <w:t>о</w:t>
      </w:r>
      <w:r w:rsidRPr="003474BD">
        <w:t xml:space="preserve"> с настоящата инвестиция.</w:t>
      </w:r>
    </w:p>
    <w:p w14:paraId="7D1A68D9" w14:textId="483DEA75" w:rsidR="003F1496" w:rsidRPr="003474BD" w:rsidRDefault="00D800EC" w:rsidP="00D800EC">
      <w:pPr>
        <w:suppressAutoHyphens/>
        <w:spacing w:before="120" w:after="120" w:line="312" w:lineRule="auto"/>
        <w:ind w:left="567"/>
        <w:jc w:val="both"/>
      </w:pPr>
      <w:r w:rsidRPr="003474BD">
        <w:t xml:space="preserve">Крайната цел е стойност на индикатора </w:t>
      </w:r>
      <w:r w:rsidR="004C35B9" w:rsidRPr="003474BD">
        <w:t xml:space="preserve">от </w:t>
      </w:r>
      <w:r w:rsidRPr="003474BD">
        <w:t>поне 3 000 (в MWh)</w:t>
      </w:r>
      <w:r w:rsidR="003F5FE1">
        <w:t xml:space="preserve"> кумулативно за всички подкрепени инвестиции</w:t>
      </w:r>
      <w:r w:rsidRPr="003474BD">
        <w:t>.</w:t>
      </w:r>
    </w:p>
    <w:p w14:paraId="7935411E"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23" w:name="_Toc106285924"/>
      <w:bookmarkStart w:id="24" w:name="_Toc166258038"/>
      <w:r w:rsidRPr="003474BD">
        <w:rPr>
          <w:rFonts w:ascii="Times New Roman" w:hAnsi="Times New Roman"/>
          <w:sz w:val="24"/>
          <w:szCs w:val="24"/>
        </w:rPr>
        <w:t>7. Общ размер на средствата по процедурата:</w:t>
      </w:r>
      <w:bookmarkEnd w:id="23"/>
      <w:bookmarkEnd w:id="24"/>
    </w:p>
    <w:p w14:paraId="0B101882" w14:textId="24FBC234" w:rsidR="003F1496" w:rsidRPr="003474BD" w:rsidRDefault="003F1496" w:rsidP="00A42091">
      <w:pPr>
        <w:suppressAutoHyphens/>
        <w:spacing w:before="120" w:after="120" w:line="312" w:lineRule="auto"/>
        <w:jc w:val="both"/>
        <w:rPr>
          <w:rFonts w:eastAsia="MS Mincho"/>
          <w:lang w:eastAsia="en-US"/>
        </w:rPr>
      </w:pPr>
      <w:r w:rsidRPr="003474BD">
        <w:t xml:space="preserve">Общият размер на безвъзмездното финансиране по Механизма </w:t>
      </w:r>
      <w:r w:rsidR="000545D2" w:rsidRPr="003474BD">
        <w:t>з</w:t>
      </w:r>
      <w:r w:rsidRPr="003474BD">
        <w:t xml:space="preserve">а </w:t>
      </w:r>
      <w:r w:rsidR="000545D2" w:rsidRPr="003474BD">
        <w:t xml:space="preserve">Инвестиция 8 </w:t>
      </w:r>
      <w:r w:rsidR="00DC5756" w:rsidRPr="003474BD">
        <w:t>"</w:t>
      </w:r>
      <w:r w:rsidR="000545D2" w:rsidRPr="003474BD">
        <w:t xml:space="preserve">Национална инфраструктура за съхранение на електрическа енергия </w:t>
      </w:r>
      <w:r w:rsidR="00FD50B9" w:rsidRPr="00FD50B9">
        <w:t>от възобновяеми източници</w:t>
      </w:r>
      <w:r w:rsidR="000545D2" w:rsidRPr="003474BD">
        <w:t xml:space="preserve"> (RESTORE)</w:t>
      </w:r>
      <w:r w:rsidR="00DC5756" w:rsidRPr="003474BD">
        <w:t>"</w:t>
      </w:r>
      <w:r w:rsidR="000545D2" w:rsidRPr="003474BD">
        <w:t xml:space="preserve"> (C4.I8) </w:t>
      </w:r>
      <w:r w:rsidR="001A0143">
        <w:t>е 1 </w:t>
      </w:r>
      <w:r w:rsidR="003F5FE1">
        <w:t>179 365 490 лева</w:t>
      </w:r>
      <w:r w:rsidR="001A0143">
        <w:t xml:space="preserve"> , като </w:t>
      </w:r>
      <w:r w:rsidR="000545D2" w:rsidRPr="003474BD">
        <w:t xml:space="preserve">в частност </w:t>
      </w:r>
      <w:r w:rsidR="001A0143">
        <w:t xml:space="preserve">безвъзмездното финансиране </w:t>
      </w:r>
      <w:r w:rsidR="000545D2" w:rsidRPr="003474BD">
        <w:t xml:space="preserve">по настоящата </w:t>
      </w:r>
      <w:r w:rsidR="004C35B9" w:rsidRPr="003474BD">
        <w:t>П</w:t>
      </w:r>
      <w:r w:rsidR="000545D2" w:rsidRPr="003474BD">
        <w:t>роцедура</w:t>
      </w:r>
      <w:r w:rsidR="00D800EC" w:rsidRPr="003474BD">
        <w:t xml:space="preserve"> 1</w:t>
      </w:r>
      <w:r w:rsidR="000545D2" w:rsidRPr="003474BD">
        <w:t xml:space="preserve"> е в размер на </w:t>
      </w:r>
      <w:r w:rsidR="00A05758" w:rsidRPr="003474BD">
        <w:t>1 153 939 700</w:t>
      </w:r>
      <w:r w:rsidR="000545D2" w:rsidRPr="003474BD">
        <w:t> </w:t>
      </w:r>
      <w:r w:rsidR="008D0B53" w:rsidRPr="003474BD">
        <w:t>лева</w:t>
      </w:r>
      <w:r w:rsidRPr="003474BD">
        <w:t>.</w:t>
      </w:r>
    </w:p>
    <w:p w14:paraId="78EB7683" w14:textId="77777777" w:rsidR="000545D2" w:rsidRPr="003474BD" w:rsidRDefault="000545D2" w:rsidP="00A42091">
      <w:pPr>
        <w:suppressAutoHyphens/>
        <w:spacing w:before="120" w:after="120" w:line="312" w:lineRule="auto"/>
        <w:jc w:val="both"/>
        <w:rPr>
          <w:rFonts w:eastAsia="MS Mincho"/>
          <w:lang w:eastAsia="en-US"/>
        </w:rPr>
      </w:pPr>
    </w:p>
    <w:p w14:paraId="7C0D9C5C"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25" w:name="_Toc166258039"/>
      <w:bookmarkStart w:id="26" w:name="_Hlk143173506"/>
      <w:r w:rsidRPr="003474BD">
        <w:rPr>
          <w:rFonts w:ascii="Times New Roman" w:hAnsi="Times New Roman"/>
          <w:sz w:val="24"/>
          <w:szCs w:val="24"/>
        </w:rPr>
        <w:t>8. Приложим режим на държавни помощи:</w:t>
      </w:r>
      <w:bookmarkEnd w:id="25"/>
    </w:p>
    <w:p w14:paraId="3134704E" w14:textId="2DED8233" w:rsidR="003F1496" w:rsidRPr="003474BD" w:rsidRDefault="003F1496" w:rsidP="00BF6236">
      <w:pPr>
        <w:suppressAutoHyphens/>
        <w:spacing w:before="120" w:after="120" w:line="312" w:lineRule="auto"/>
        <w:jc w:val="both"/>
      </w:pPr>
      <w:r w:rsidRPr="003474BD">
        <w:lastRenderedPageBreak/>
        <w:t xml:space="preserve">По настоящата процедура Кандидатите прилагат режима на държавни помощи, определен в </w:t>
      </w:r>
      <w:r w:rsidR="00BF6236" w:rsidRPr="003474BD">
        <w:t xml:space="preserve">раздел 2.5.1, точка 77, буква а), подточка (ii) от </w:t>
      </w:r>
      <w:bookmarkStart w:id="27" w:name="_Hlk165476272"/>
      <w:r w:rsidR="00A071B7" w:rsidRPr="003474BD">
        <w:t>СЪОБЩЕНИЕ НА КОМИСИЯТА Временна рамка за мерки за държавна помощ при кризи и преход в подкрепа на икономиката след агресията на Русия срещу Украйна (2023/C 101/03</w:t>
      </w:r>
      <w:r w:rsidR="004C4A27" w:rsidRPr="003474BD">
        <w:t xml:space="preserve"> и последващите й изменения</w:t>
      </w:r>
      <w:r w:rsidR="00A071B7" w:rsidRPr="003474BD">
        <w:t>)</w:t>
      </w:r>
      <w:r w:rsidR="00283BEF" w:rsidRPr="003474BD">
        <w:t xml:space="preserve"> (</w:t>
      </w:r>
      <w:r w:rsidR="00283BEF" w:rsidRPr="003474BD">
        <w:rPr>
          <w:b/>
          <w:bCs/>
        </w:rPr>
        <w:t>ВРКП</w:t>
      </w:r>
      <w:r w:rsidR="00283BEF" w:rsidRPr="003474BD">
        <w:t>)</w:t>
      </w:r>
      <w:bookmarkEnd w:id="27"/>
      <w:r w:rsidR="009A6403" w:rsidRPr="003474BD">
        <w:rPr>
          <w:rStyle w:val="FootnoteReference"/>
        </w:rPr>
        <w:footnoteReference w:id="5"/>
      </w:r>
      <w:r w:rsidRPr="003474BD">
        <w:t xml:space="preserve">. </w:t>
      </w:r>
    </w:p>
    <w:p w14:paraId="0DF1226B" w14:textId="27087759" w:rsidR="00846F46" w:rsidRPr="003474BD" w:rsidRDefault="00846F46" w:rsidP="00A42091">
      <w:pPr>
        <w:suppressAutoHyphens/>
        <w:spacing w:before="120" w:after="120" w:line="312" w:lineRule="auto"/>
        <w:jc w:val="both"/>
      </w:pPr>
      <w:r w:rsidRPr="003474BD">
        <w:t xml:space="preserve">Предоставянето на средствата по настоящата инвестиция C4.I8, която е част от НПВУ, се осъществява при спазване на разпоредбите на Постановление №114 на МС от 08.06.2022 г. за определяне на детайлни правила за предоставяне на средства на крайни получатели от Механизма за възстановяване и устойчивост (ПМС №114/2022) и </w:t>
      </w:r>
      <w:r w:rsidR="00BF6236" w:rsidRPr="003474BD">
        <w:t>раздел 2.5.1, точка 77, буква а), подточка (ii) от</w:t>
      </w:r>
      <w:r w:rsidR="00EA0852" w:rsidRPr="003474BD">
        <w:t xml:space="preserve"> ВРКП</w:t>
      </w:r>
      <w:r w:rsidRPr="003474BD">
        <w:t xml:space="preserve"> чрез организиране на конкурентн</w:t>
      </w:r>
      <w:r w:rsidR="00EE7E27" w:rsidRPr="003474BD">
        <w:t>а</w:t>
      </w:r>
      <w:r w:rsidRPr="003474BD">
        <w:t xml:space="preserve"> тръжн</w:t>
      </w:r>
      <w:r w:rsidR="00EE7E27" w:rsidRPr="003474BD">
        <w:t>а</w:t>
      </w:r>
      <w:r w:rsidRPr="003474BD">
        <w:t xml:space="preserve"> процедур</w:t>
      </w:r>
      <w:r w:rsidR="00EE7E27" w:rsidRPr="003474BD">
        <w:t>а</w:t>
      </w:r>
      <w:r w:rsidRPr="003474BD">
        <w:t xml:space="preserve"> за подбор за изпълнение на инвестиции от крайни получатели.</w:t>
      </w:r>
    </w:p>
    <w:p w14:paraId="38197B98" w14:textId="36893034" w:rsidR="00503F13" w:rsidRPr="003474BD" w:rsidRDefault="00503F13" w:rsidP="00410F9C">
      <w:pPr>
        <w:suppressAutoHyphens/>
        <w:spacing w:before="120" w:after="120" w:line="312" w:lineRule="auto"/>
        <w:jc w:val="both"/>
      </w:pPr>
      <w:r w:rsidRPr="003474BD">
        <w:t xml:space="preserve">Интензитетът на </w:t>
      </w:r>
      <w:r w:rsidRPr="001D442C">
        <w:t>помощта</w:t>
      </w:r>
      <w:r w:rsidR="00D800EC" w:rsidRPr="001D442C">
        <w:t xml:space="preserve"> </w:t>
      </w:r>
      <w:r w:rsidR="00D800EC" w:rsidRPr="009E39E4">
        <w:t>(с натрупване)</w:t>
      </w:r>
      <w:r w:rsidRPr="001D442C">
        <w:t xml:space="preserve"> не може</w:t>
      </w:r>
      <w:r w:rsidRPr="003474BD">
        <w:t xml:space="preserve"> да надхвърля </w:t>
      </w:r>
      <w:r w:rsidR="00410F9C" w:rsidRPr="003474BD">
        <w:t>100 % от общите инвестиционни разходи, когато помощта е определена в конкурентна тръжна процедура въз основа на точка 77, буква е), подточка (i) от ВРКП</w:t>
      </w:r>
      <w:r w:rsidRPr="003474BD">
        <w:t>.</w:t>
      </w:r>
      <w:r w:rsidR="00A43A7A" w:rsidRPr="003474BD">
        <w:rPr>
          <w:rStyle w:val="FootnoteReference"/>
        </w:rPr>
        <w:footnoteReference w:id="6"/>
      </w:r>
      <w:r w:rsidRPr="003474BD">
        <w:t xml:space="preserve"> </w:t>
      </w:r>
    </w:p>
    <w:p w14:paraId="44A73F93" w14:textId="48EE00EB" w:rsidR="00503F13" w:rsidRPr="003474BD" w:rsidRDefault="00503F13" w:rsidP="00503F13">
      <w:pPr>
        <w:suppressAutoHyphens/>
        <w:spacing w:before="120" w:after="120" w:line="312" w:lineRule="auto"/>
        <w:jc w:val="both"/>
      </w:pPr>
      <w:r w:rsidRPr="003474BD">
        <w:t>Инвестиционна помощ се предоставя за инвестиции в съхранение на електроенергия</w:t>
      </w:r>
      <w:r w:rsidR="00A43A7A" w:rsidRPr="003474BD">
        <w:rPr>
          <w:rStyle w:val="FootnoteReference"/>
        </w:rPr>
        <w:footnoteReference w:id="7"/>
      </w:r>
      <w:r w:rsidRPr="003474BD">
        <w:t xml:space="preserve"> и може да се предоставя за инвестиции, чиито работи са започнали </w:t>
      </w:r>
      <w:r w:rsidR="00C72E2C" w:rsidRPr="003474BD">
        <w:t>на или след</w:t>
      </w:r>
      <w:r w:rsidRPr="003474BD">
        <w:t xml:space="preserve"> 9 март 2023 г.</w:t>
      </w:r>
      <w:r w:rsidR="00A43A7A" w:rsidRPr="003474BD">
        <w:rPr>
          <w:rStyle w:val="FootnoteReference"/>
        </w:rPr>
        <w:t xml:space="preserve"> </w:t>
      </w:r>
      <w:r w:rsidR="00A43A7A" w:rsidRPr="003474BD">
        <w:rPr>
          <w:rStyle w:val="FootnoteReference"/>
        </w:rPr>
        <w:footnoteReference w:id="8"/>
      </w:r>
      <w:r w:rsidR="00A43A7A" w:rsidRPr="003474BD">
        <w:t xml:space="preserve"> </w:t>
      </w:r>
    </w:p>
    <w:p w14:paraId="4A79410C" w14:textId="780CD689" w:rsidR="00503F13" w:rsidRPr="003474BD" w:rsidRDefault="003F1496" w:rsidP="00D32DA0">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pPr>
      <w:r w:rsidRPr="003474BD">
        <w:rPr>
          <w:b/>
        </w:rPr>
        <w:t>ВАЖНО:</w:t>
      </w:r>
      <w:r w:rsidR="00D32DA0" w:rsidRPr="003474BD">
        <w:t xml:space="preserve"> </w:t>
      </w:r>
      <w:r w:rsidR="00D32DA0" w:rsidRPr="003474BD">
        <w:rPr>
          <w:bCs/>
        </w:rPr>
        <w:t xml:space="preserve">Мерките за държавна помощ, попадащи в обхвата на ВРКП, могат да се натрупват помежду си в съответствие с изискванията на специфичните раздели на ВРКП. Мерките за помощ, обхванати от ВРКП, могат да се натрупват с помощи в съответствие с регламентите за помощ de minimis или с помощи в съответствие с регламентите за групово освобождаване, при условие че се спазват разпоредбите и правилата за натрупване от посочените регламенти. Мерките за държавна помощ, обхванати от ВРКП, могат да се натрупват с помощи, предоставени съгласно Временната рамка за COVID-19, при условие че спазват съответните им правила за натрупване. Когато държавите членки предоставят на един и същ бенефициер заеми или гаранции съгласно Временната рамка за COVID-19 и съгласно ВРКП и когато общият размер на главницата на заема се изчислява въз основа на заявените лично от бенефициера нужди от ликвидност, държавите членки трябва да гарантират, че тези нужди от ликвидност се покриват с </w:t>
      </w:r>
      <w:r w:rsidR="00D32DA0" w:rsidRPr="003474BD">
        <w:rPr>
          <w:bCs/>
        </w:rPr>
        <w:lastRenderedPageBreak/>
        <w:t xml:space="preserve">помощ само веднъж. По същия начин помощта по </w:t>
      </w:r>
      <w:r w:rsidR="00BF3BB3" w:rsidRPr="003474BD">
        <w:t>ВРКП</w:t>
      </w:r>
      <w:r w:rsidR="00BF3BB3" w:rsidRPr="003474BD" w:rsidDel="00BF3BB3">
        <w:rPr>
          <w:bCs/>
        </w:rPr>
        <w:t xml:space="preserve"> </w:t>
      </w:r>
      <w:r w:rsidR="00D32DA0" w:rsidRPr="003474BD">
        <w:rPr>
          <w:bCs/>
        </w:rPr>
        <w:t>може да се натрупва с помощ по член 107, параграф 2, буква б) от ДФЕС, но не може да се стига до прекомерна компенсация на щетите, понесени от бенефициера.</w:t>
      </w:r>
      <w:r w:rsidR="006641CE" w:rsidRPr="003474BD">
        <w:rPr>
          <w:rStyle w:val="FootnoteReference"/>
        </w:rPr>
        <w:t xml:space="preserve"> </w:t>
      </w:r>
      <w:r w:rsidR="006641CE" w:rsidRPr="003474BD">
        <w:rPr>
          <w:rStyle w:val="FootnoteReference"/>
        </w:rPr>
        <w:footnoteReference w:id="9"/>
      </w:r>
    </w:p>
    <w:p w14:paraId="28C1545C" w14:textId="3CA1CE1F" w:rsidR="00503F13" w:rsidRPr="003474BD" w:rsidRDefault="00503F13" w:rsidP="00D32DA0">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pPr>
      <w:r w:rsidRPr="003474BD">
        <w:t xml:space="preserve">Помощта по </w:t>
      </w:r>
      <w:r w:rsidR="00D32DA0" w:rsidRPr="003474BD">
        <w:t>раздел</w:t>
      </w:r>
      <w:r w:rsidRPr="003474BD">
        <w:t xml:space="preserve"> 2.5.1 от </w:t>
      </w:r>
      <w:r w:rsidR="00A43A7A" w:rsidRPr="003474BD">
        <w:t>ВРКП</w:t>
      </w:r>
      <w:r w:rsidRPr="003474BD">
        <w:t xml:space="preserve"> </w:t>
      </w:r>
      <w:r w:rsidR="00D32DA0" w:rsidRPr="003474BD">
        <w:t>може да се натрупва с всяка друга държавна помощ, с изключение на помощта по раздел 2.5.2 от ВРКП, или с централно управлявани фондове, доколкото тези мерки се отнасят до различни установими допустими разходи. Помощта може да се натрупва с държавна помощ, с изключение на помощта по раздел 2.5.2 от ВРКП, или с централно управлявани фондове във връзка със същите допустими разходи, частично или изцяло припокриващи се, само ако това натрупване не води до превишаване на приложимия интензитет на помощта, определен в точка 77, буква и)</w:t>
      </w:r>
      <w:r w:rsidR="006641CE" w:rsidRPr="003474BD">
        <w:rPr>
          <w:rStyle w:val="FootnoteReference"/>
        </w:rPr>
        <w:footnoteReference w:id="10"/>
      </w:r>
      <w:r w:rsidRPr="003474BD">
        <w:t xml:space="preserve">  Помощта по раздел 2.5.1 от </w:t>
      </w:r>
      <w:r w:rsidR="00A43A7A" w:rsidRPr="003474BD">
        <w:t>ВРКП</w:t>
      </w:r>
      <w:r w:rsidRPr="003474BD">
        <w:t xml:space="preserve"> </w:t>
      </w:r>
      <w:r w:rsidR="00D32DA0" w:rsidRPr="003474BD">
        <w:t>може да се натрупва с помощ по раздел 2.5.2 от ВРКП само когато схемата за помощ, за която е постъпило уведомление, предвижда тази възможност към момента на първоначалното уведомление</w:t>
      </w:r>
      <w:r w:rsidRPr="003474BD">
        <w:t>.</w:t>
      </w:r>
      <w:r w:rsidR="006641CE" w:rsidRPr="003474BD">
        <w:rPr>
          <w:rStyle w:val="FootnoteReference"/>
        </w:rPr>
        <w:t xml:space="preserve"> </w:t>
      </w:r>
      <w:r w:rsidR="006641CE" w:rsidRPr="003474BD">
        <w:rPr>
          <w:rStyle w:val="FootnoteReference"/>
        </w:rPr>
        <w:footnoteReference w:id="11"/>
      </w:r>
    </w:p>
    <w:p w14:paraId="6FB4ABA4" w14:textId="35CB1C8A" w:rsidR="003F1496" w:rsidRPr="003474BD" w:rsidRDefault="00503F13" w:rsidP="00503F13">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highlight w:val="yellow"/>
        </w:rPr>
      </w:pPr>
      <w:r w:rsidRPr="003474BD">
        <w:t>Помощта, предоставена по раздели 2.5 и 2.6 от предишните временни рамки</w:t>
      </w:r>
      <w:r w:rsidR="003A47A5" w:rsidRPr="003474BD">
        <w:t xml:space="preserve"> при кризи</w:t>
      </w:r>
      <w:r w:rsidRPr="003474BD">
        <w:t xml:space="preserve">, не може да се </w:t>
      </w:r>
      <w:r w:rsidR="003A47A5" w:rsidRPr="003474BD">
        <w:t>натрупва</w:t>
      </w:r>
      <w:r w:rsidRPr="003474BD">
        <w:t xml:space="preserve"> с помощ, предоставена по същите съответни раздели</w:t>
      </w:r>
      <w:r w:rsidR="00D32DA0" w:rsidRPr="003474BD">
        <w:t xml:space="preserve"> на ВРКП</w:t>
      </w:r>
      <w:r w:rsidRPr="003474BD">
        <w:t>, ако покрива едни и същи допустими разходи</w:t>
      </w:r>
      <w:r w:rsidR="003A47A5" w:rsidRPr="003474BD">
        <w:rPr>
          <w:rStyle w:val="FootnoteReference"/>
        </w:rPr>
        <w:footnoteReference w:id="12"/>
      </w:r>
      <w:r w:rsidRPr="003474BD">
        <w:t>.</w:t>
      </w:r>
      <w:r w:rsidR="003F1496" w:rsidRPr="003474BD">
        <w:rPr>
          <w:highlight w:val="yellow"/>
        </w:rPr>
        <w:t xml:space="preserve"> </w:t>
      </w:r>
    </w:p>
    <w:p w14:paraId="0129A3CD" w14:textId="77777777" w:rsidR="003F1496" w:rsidRPr="003474BD" w:rsidRDefault="003F1496" w:rsidP="00A42091">
      <w:pPr>
        <w:suppressAutoHyphens/>
        <w:spacing w:before="120" w:after="120" w:line="312" w:lineRule="auto"/>
        <w:jc w:val="both"/>
        <w:rPr>
          <w:highlight w:val="yellow"/>
        </w:rPr>
      </w:pPr>
    </w:p>
    <w:p w14:paraId="357D8E45" w14:textId="55AE16DA" w:rsidR="003F1496" w:rsidRPr="003474BD" w:rsidRDefault="003F1496" w:rsidP="00A42091">
      <w:pPr>
        <w:suppressAutoHyphens/>
        <w:spacing w:before="120" w:after="120" w:line="312" w:lineRule="auto"/>
        <w:jc w:val="both"/>
        <w:rPr>
          <w:highlight w:val="yellow"/>
        </w:rPr>
      </w:pPr>
      <w:r w:rsidRPr="003474BD">
        <w:t xml:space="preserve">Данните за получени държавни помощи </w:t>
      </w:r>
      <w:r w:rsidR="00BB0F73" w:rsidRPr="003474BD">
        <w:t xml:space="preserve">от </w:t>
      </w:r>
      <w:r w:rsidR="003F5AC4" w:rsidRPr="003474BD">
        <w:t>к</w:t>
      </w:r>
      <w:r w:rsidR="00BB0F73" w:rsidRPr="003474BD">
        <w:t xml:space="preserve">андидата </w:t>
      </w:r>
      <w:r w:rsidRPr="003474BD">
        <w:t xml:space="preserve">следва да бъдат надлежно посочени от </w:t>
      </w:r>
      <w:r w:rsidR="003F5AC4" w:rsidRPr="003474BD">
        <w:t xml:space="preserve">кандидатите </w:t>
      </w:r>
      <w:r w:rsidRPr="003474BD">
        <w:t xml:space="preserve">в </w:t>
      </w:r>
      <w:r w:rsidRPr="00E57C4A">
        <w:t xml:space="preserve">Декларацията за държавни помощи (Приложение </w:t>
      </w:r>
      <w:r w:rsidR="006C3AF7" w:rsidRPr="00E57C4A">
        <w:t>2</w:t>
      </w:r>
      <w:r w:rsidRPr="00E57C4A">
        <w:t>)</w:t>
      </w:r>
      <w:r w:rsidRPr="00242C48">
        <w:t>.</w:t>
      </w:r>
      <w:r w:rsidRPr="003474BD">
        <w:t xml:space="preserve"> Помощта се счита за получена от момента на сключване на договора за финансиране </w:t>
      </w:r>
      <w:r w:rsidR="00D800EC" w:rsidRPr="009E39E4">
        <w:t>з</w:t>
      </w:r>
      <w:r w:rsidRPr="003474BD">
        <w:t xml:space="preserve">а нейното предоставяне. В случай че след подаване на предложението за изпълнение на инвестиция настъпи промяна по отношение на получената държавна помощ, </w:t>
      </w:r>
      <w:r w:rsidR="003F5AC4" w:rsidRPr="003474BD">
        <w:t xml:space="preserve">кандидатът </w:t>
      </w:r>
      <w:r w:rsidRPr="003474BD">
        <w:t xml:space="preserve">следва да уведоми писмено СНД и да изпрати нова Декларация за държавни помощи (Приложение </w:t>
      </w:r>
      <w:r w:rsidR="006C3AF7" w:rsidRPr="003474BD">
        <w:t>2</w:t>
      </w:r>
      <w:r w:rsidRPr="003474BD">
        <w:t xml:space="preserve">, с попълнени актуални данни в нея, в срок от 5 (пет) работни дни чрез модул </w:t>
      </w:r>
      <w:r w:rsidR="00DC5756" w:rsidRPr="003474BD">
        <w:t>"</w:t>
      </w:r>
      <w:r w:rsidRPr="003474BD">
        <w:t>Комуникация с УО</w:t>
      </w:r>
      <w:r w:rsidR="00DC5756" w:rsidRPr="003474BD">
        <w:t>"</w:t>
      </w:r>
      <w:r w:rsidRPr="003474BD">
        <w:t xml:space="preserve"> в Информационната система за Механизма (ИСМ) - Информационната система за управление и наблюдение на средствата от ЕС в България 2020 (ИСУН 2020), раздел </w:t>
      </w:r>
      <w:r w:rsidR="00DC5756" w:rsidRPr="003474BD">
        <w:t>"</w:t>
      </w:r>
      <w:r w:rsidRPr="003474BD">
        <w:t>Национален план за възстановяване и устойчивост</w:t>
      </w:r>
      <w:r w:rsidR="00DC5756" w:rsidRPr="003474BD">
        <w:t>"</w:t>
      </w:r>
      <w:r w:rsidRPr="003474BD">
        <w:t xml:space="preserve"> (НПВУ).</w:t>
      </w:r>
    </w:p>
    <w:p w14:paraId="0529C650" w14:textId="32327061" w:rsidR="003F1496" w:rsidRPr="003474BD" w:rsidRDefault="00134FBD" w:rsidP="00BF3BB3">
      <w:pPr>
        <w:suppressAutoHyphens/>
        <w:spacing w:before="120" w:after="120" w:line="312" w:lineRule="auto"/>
        <w:jc w:val="both"/>
      </w:pPr>
      <w:r w:rsidRPr="003474BD">
        <w:t>К</w:t>
      </w:r>
      <w:r w:rsidR="003F1496" w:rsidRPr="003474BD">
        <w:t xml:space="preserve">андидатите нямат право да подават предложения за изпълнение на инвестиция по процедурата за дейности, финансирани по друг проект, програма или каквато и да е друга </w:t>
      </w:r>
      <w:r w:rsidR="003F1496" w:rsidRPr="003474BD">
        <w:lastRenderedPageBreak/>
        <w:t>финансова схема, произлизаща от националния бюджет, бюджета на Общността или друга донорска програма</w:t>
      </w:r>
      <w:r w:rsidR="00BF3BB3" w:rsidRPr="003474BD">
        <w:t xml:space="preserve"> или на инвестиция, за която строителните работи са започнали</w:t>
      </w:r>
      <w:r w:rsidR="007C4680" w:rsidRPr="003474BD">
        <w:rPr>
          <w:rStyle w:val="FootnoteReference"/>
        </w:rPr>
        <w:footnoteReference w:id="13"/>
      </w:r>
      <w:r w:rsidR="00BF3BB3" w:rsidRPr="003474BD">
        <w:t xml:space="preserve"> </w:t>
      </w:r>
      <w:r w:rsidR="007C4680" w:rsidRPr="003474BD">
        <w:t>преди</w:t>
      </w:r>
      <w:r w:rsidR="00BF3BB3" w:rsidRPr="003474BD">
        <w:t xml:space="preserve"> 9 март 2023 г</w:t>
      </w:r>
      <w:r w:rsidR="003F1496" w:rsidRPr="003474BD">
        <w:t>.</w:t>
      </w:r>
    </w:p>
    <w:p w14:paraId="2EA99699" w14:textId="77777777" w:rsidR="003F1496" w:rsidRPr="003474BD" w:rsidRDefault="003F1496" w:rsidP="00A42091">
      <w:pPr>
        <w:suppressAutoHyphens/>
        <w:spacing w:before="120" w:after="120" w:line="312" w:lineRule="auto"/>
        <w:jc w:val="both"/>
      </w:pPr>
      <w:r w:rsidRPr="003474BD">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3B033384" w14:textId="77777777" w:rsidR="003F1496" w:rsidRPr="003474BD" w:rsidRDefault="003F1496" w:rsidP="00A42091">
      <w:pPr>
        <w:suppressAutoHyphens/>
        <w:spacing w:before="120" w:after="120" w:line="312" w:lineRule="auto"/>
        <w:jc w:val="both"/>
      </w:pPr>
      <w:r w:rsidRPr="003474BD">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 с крайните получатели.</w:t>
      </w:r>
    </w:p>
    <w:p w14:paraId="04DC10D2" w14:textId="09499A3F" w:rsidR="003F1496" w:rsidRPr="003474BD" w:rsidRDefault="003F1496" w:rsidP="00A42091">
      <w:pPr>
        <w:suppressAutoHyphens/>
        <w:spacing w:before="120" w:after="120" w:line="312" w:lineRule="auto"/>
        <w:jc w:val="both"/>
      </w:pPr>
      <w:r w:rsidRPr="003474BD">
        <w:t xml:space="preserve">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w:t>
      </w:r>
      <w:r w:rsidR="00906D8F" w:rsidRPr="003474BD">
        <w:t>ВРКП.</w:t>
      </w:r>
    </w:p>
    <w:p w14:paraId="0BBDD158" w14:textId="77777777" w:rsidR="0034019E" w:rsidRPr="003474BD" w:rsidRDefault="0034019E" w:rsidP="00A42091">
      <w:pPr>
        <w:suppressAutoHyphens/>
        <w:spacing w:before="120" w:after="120" w:line="312" w:lineRule="auto"/>
        <w:jc w:val="both"/>
      </w:pPr>
    </w:p>
    <w:p w14:paraId="3F3F1640" w14:textId="159B7B7F" w:rsidR="003F1496" w:rsidRPr="003474BD" w:rsidRDefault="003F1496" w:rsidP="00A42091">
      <w:pPr>
        <w:pStyle w:val="Heading2"/>
        <w:suppressAutoHyphens/>
        <w:spacing w:after="120" w:line="312" w:lineRule="auto"/>
        <w:rPr>
          <w:rFonts w:ascii="Times New Roman" w:hAnsi="Times New Roman"/>
          <w:sz w:val="24"/>
          <w:szCs w:val="24"/>
        </w:rPr>
      </w:pPr>
      <w:bookmarkStart w:id="30" w:name="_Toc106285925"/>
      <w:bookmarkStart w:id="31" w:name="_Toc166258040"/>
      <w:bookmarkStart w:id="32" w:name="_Hlk143174051"/>
      <w:bookmarkEnd w:id="26"/>
      <w:r w:rsidRPr="003474BD">
        <w:rPr>
          <w:rFonts w:ascii="Times New Roman" w:hAnsi="Times New Roman"/>
          <w:sz w:val="24"/>
          <w:szCs w:val="24"/>
        </w:rPr>
        <w:t>9. Минимален и максимален размер на безвъзмездното финансиране за конкретно предложение за изпълнение на инвестиция:</w:t>
      </w:r>
      <w:bookmarkEnd w:id="30"/>
      <w:bookmarkEnd w:id="31"/>
    </w:p>
    <w:p w14:paraId="72455EAD" w14:textId="3ED599F5" w:rsidR="003F1496" w:rsidRPr="003474BD" w:rsidRDefault="003F1496" w:rsidP="00A42091">
      <w:pPr>
        <w:suppressAutoHyphens/>
        <w:spacing w:before="120" w:after="120" w:line="312" w:lineRule="auto"/>
        <w:jc w:val="both"/>
      </w:pPr>
      <w:r w:rsidRPr="003474BD">
        <w:t xml:space="preserve">Минималният и максималният размер на заявеното безвъзмездно финансиране по всяко индивидуално предложение </w:t>
      </w:r>
      <w:r w:rsidR="00EA7B2E" w:rsidRPr="003474BD">
        <w:t xml:space="preserve">на даден кандидат </w:t>
      </w:r>
      <w:r w:rsidRPr="003474BD">
        <w:t xml:space="preserve">за </w:t>
      </w:r>
      <w:r w:rsidR="00A550E3" w:rsidRPr="003474BD">
        <w:t xml:space="preserve">проектно предложение за </w:t>
      </w:r>
      <w:r w:rsidRPr="003474BD">
        <w:t>изпълнение на инвестиция по процедурата са, както следва:</w:t>
      </w:r>
    </w:p>
    <w:p w14:paraId="6A4E1359" w14:textId="5AE011DB" w:rsidR="003F1496" w:rsidRPr="003474BD" w:rsidRDefault="003F1496" w:rsidP="00A42091">
      <w:pPr>
        <w:suppressAutoHyphens/>
        <w:spacing w:before="120" w:after="120" w:line="312" w:lineRule="auto"/>
        <w:ind w:left="450" w:hanging="450"/>
        <w:jc w:val="both"/>
      </w:pPr>
      <w:r w:rsidRPr="003474BD">
        <w:t>•</w:t>
      </w:r>
      <w:r w:rsidRPr="003474BD">
        <w:tab/>
        <w:t xml:space="preserve">Минимален размер на финансиране за предложение – </w:t>
      </w:r>
      <w:r w:rsidR="00ED408F" w:rsidRPr="003474BD">
        <w:t>няма</w:t>
      </w:r>
      <w:r w:rsidRPr="003474BD">
        <w:t>;</w:t>
      </w:r>
    </w:p>
    <w:p w14:paraId="50492AF4" w14:textId="1E6ACEA4" w:rsidR="003F1496" w:rsidRPr="003474BD" w:rsidRDefault="003F1496" w:rsidP="00A42091">
      <w:pPr>
        <w:suppressAutoHyphens/>
        <w:spacing w:before="120" w:after="120" w:line="312" w:lineRule="auto"/>
        <w:ind w:left="450" w:hanging="450"/>
        <w:jc w:val="both"/>
      </w:pPr>
      <w:r w:rsidRPr="003474BD">
        <w:t>•</w:t>
      </w:r>
      <w:r w:rsidRPr="003474BD">
        <w:tab/>
        <w:t xml:space="preserve">Максимален размер на финансиране за </w:t>
      </w:r>
      <w:r w:rsidR="00422DEF" w:rsidRPr="003474BD">
        <w:t xml:space="preserve">едно </w:t>
      </w:r>
      <w:r w:rsidRPr="003474BD">
        <w:t xml:space="preserve">предложение </w:t>
      </w:r>
      <w:r w:rsidR="00422DEF" w:rsidRPr="003474BD">
        <w:t xml:space="preserve">за едно предприятие </w:t>
      </w:r>
      <w:r w:rsidR="00BD2C30" w:rsidRPr="003474BD">
        <w:t xml:space="preserve">– </w:t>
      </w:r>
      <w:r w:rsidR="00A05758" w:rsidRPr="009E39E4">
        <w:t xml:space="preserve">148 643 080 </w:t>
      </w:r>
      <w:r w:rsidR="00BD2C30" w:rsidRPr="009E39E4">
        <w:t>лева</w:t>
      </w:r>
      <w:r w:rsidRPr="009E39E4">
        <w:t>.</w:t>
      </w:r>
    </w:p>
    <w:p w14:paraId="5C055FFD" w14:textId="7039CCE9" w:rsidR="006E46C8" w:rsidRPr="003474BD" w:rsidRDefault="00153665" w:rsidP="00A42091">
      <w:pPr>
        <w:suppressAutoHyphens/>
        <w:spacing w:before="120" w:after="120" w:line="312" w:lineRule="auto"/>
        <w:jc w:val="both"/>
      </w:pPr>
      <w:r w:rsidRPr="003474BD">
        <w:t>В</w:t>
      </w:r>
      <w:r w:rsidR="006E46C8" w:rsidRPr="003474BD">
        <w:t xml:space="preserve"> случай на </w:t>
      </w:r>
      <w:r w:rsidR="00A550E3" w:rsidRPr="003474BD">
        <w:t xml:space="preserve">натрупване на помощ, следва да се спазват правилата </w:t>
      </w:r>
      <w:r w:rsidRPr="003474BD">
        <w:t xml:space="preserve">и </w:t>
      </w:r>
      <w:r w:rsidR="00A550E3" w:rsidRPr="003474BD">
        <w:t xml:space="preserve">по раздел 8 по-горе. </w:t>
      </w:r>
    </w:p>
    <w:p w14:paraId="33C46D8F" w14:textId="18A70F5F" w:rsidR="003F1496" w:rsidRPr="003474BD" w:rsidDel="00E95A14" w:rsidRDefault="003F1496" w:rsidP="00A42091">
      <w:pPr>
        <w:suppressAutoHyphens/>
        <w:spacing w:before="120" w:after="120" w:line="312" w:lineRule="auto"/>
        <w:jc w:val="both"/>
      </w:pPr>
      <w:r w:rsidRPr="003474BD" w:rsidDel="00E95A14">
        <w:lastRenderedPageBreak/>
        <w:t xml:space="preserve">Стойността на заявената безвъзмездна помощ се попълва в т. </w:t>
      </w:r>
      <w:r w:rsidR="00DC5756" w:rsidRPr="003474BD">
        <w:t>"</w:t>
      </w:r>
      <w:r w:rsidRPr="003474BD" w:rsidDel="00E95A14">
        <w:t>Бюджет</w:t>
      </w:r>
      <w:r w:rsidR="00DC5756" w:rsidRPr="003474BD">
        <w:t>"</w:t>
      </w:r>
      <w:r w:rsidRPr="003474BD" w:rsidDel="00E95A14">
        <w:t xml:space="preserve"> от Формуляра за кандидатстване.</w:t>
      </w:r>
    </w:p>
    <w:p w14:paraId="11ABC4FE" w14:textId="1E1DFF9C" w:rsidR="003F1496" w:rsidRDefault="003F1496" w:rsidP="00A42091">
      <w:pPr>
        <w:suppressAutoHyphens/>
        <w:spacing w:before="120" w:after="120" w:line="312" w:lineRule="auto"/>
        <w:jc w:val="both"/>
      </w:pPr>
      <w:r w:rsidRPr="003474BD" w:rsidDel="00E95A14">
        <w:t>В случай че кандидатът е заявил финансиране, което надвишава максимално допустимия размер, Оценителната комисия ще извърши корекция в бюджета</w:t>
      </w:r>
      <w:r w:rsidR="009C6EAB" w:rsidRPr="003474BD">
        <w:t xml:space="preserve"> като служебно го намали до максимално допустимия размер съгласно чл. 16, ал. 7 на ПМС 114/2022</w:t>
      </w:r>
      <w:r w:rsidRPr="003474BD" w:rsidDel="00E95A14">
        <w:t>.</w:t>
      </w:r>
    </w:p>
    <w:p w14:paraId="7FE3BEF0" w14:textId="77777777" w:rsidR="00E040EE" w:rsidRPr="003474BD" w:rsidDel="00E95A14" w:rsidRDefault="00E040EE" w:rsidP="00A42091">
      <w:pPr>
        <w:suppressAutoHyphens/>
        <w:spacing w:before="120" w:after="120" w:line="312" w:lineRule="auto"/>
        <w:jc w:val="both"/>
      </w:pPr>
    </w:p>
    <w:p w14:paraId="05B1070A"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33" w:name="_Toc106285926"/>
      <w:bookmarkStart w:id="34" w:name="_Toc166258041"/>
      <w:r w:rsidRPr="003474BD">
        <w:rPr>
          <w:rFonts w:ascii="Times New Roman" w:hAnsi="Times New Roman"/>
          <w:sz w:val="24"/>
          <w:szCs w:val="24"/>
        </w:rPr>
        <w:t>10. Процент на съфинансиране</w:t>
      </w:r>
      <w:bookmarkEnd w:id="33"/>
      <w:bookmarkEnd w:id="34"/>
    </w:p>
    <w:p w14:paraId="5C68EC6E" w14:textId="5400D3B7" w:rsidR="003F1496" w:rsidRPr="003474BD" w:rsidRDefault="003F1496" w:rsidP="000F3105">
      <w:pPr>
        <w:suppressAutoHyphens/>
        <w:spacing w:before="120" w:after="120" w:line="312" w:lineRule="auto"/>
        <w:jc w:val="both"/>
      </w:pPr>
      <w:r w:rsidRPr="003474BD">
        <w:t xml:space="preserve">Максималният интензитет на безвъзмездното финансиране за </w:t>
      </w:r>
      <w:r w:rsidR="00C7211C" w:rsidRPr="003474BD">
        <w:t>к</w:t>
      </w:r>
      <w:r w:rsidRPr="003474BD">
        <w:t xml:space="preserve">андидата е определен в съответствие с </w:t>
      </w:r>
      <w:r w:rsidR="00EE7E27" w:rsidRPr="003474BD">
        <w:t xml:space="preserve">раздел 2.5.1, точка 77, буква и), подточка (i) от ВРКП </w:t>
      </w:r>
      <w:r w:rsidR="000F3105" w:rsidRPr="003474BD">
        <w:t xml:space="preserve">и е </w:t>
      </w:r>
      <w:r w:rsidR="00FA0446" w:rsidRPr="003474BD">
        <w:t xml:space="preserve">в размер </w:t>
      </w:r>
      <w:r w:rsidR="000F3105" w:rsidRPr="003474BD">
        <w:t xml:space="preserve">до </w:t>
      </w:r>
      <w:r w:rsidR="00FB64EE" w:rsidRPr="003474BD">
        <w:t xml:space="preserve">или равен на </w:t>
      </w:r>
      <w:r w:rsidR="000F3105" w:rsidRPr="003474BD">
        <w:t>50 </w:t>
      </w:r>
      <w:r w:rsidRPr="003474BD">
        <w:t>% от допустимите разходи</w:t>
      </w:r>
      <w:r w:rsidR="00F87927" w:rsidRPr="003474BD">
        <w:t xml:space="preserve">, </w:t>
      </w:r>
      <w:r w:rsidR="00C7211C" w:rsidRPr="003474BD">
        <w:t xml:space="preserve">но не повече от </w:t>
      </w:r>
      <w:r w:rsidR="00A05758" w:rsidRPr="003474BD">
        <w:t xml:space="preserve">371 607,70 </w:t>
      </w:r>
      <w:r w:rsidR="000F3105" w:rsidRPr="003474BD">
        <w:t>лева</w:t>
      </w:r>
      <w:r w:rsidR="00FB64EE" w:rsidRPr="003474BD">
        <w:t xml:space="preserve"> (без ДДС)</w:t>
      </w:r>
      <w:r w:rsidR="000F3105" w:rsidRPr="003474BD">
        <w:t xml:space="preserve"> за 1 MWh </w:t>
      </w:r>
      <w:r w:rsidR="00FB64EE" w:rsidRPr="003474BD">
        <w:t xml:space="preserve">използваем енергиен капацитет на </w:t>
      </w:r>
      <w:r w:rsidR="007D03ED" w:rsidRPr="003474BD">
        <w:t xml:space="preserve">изградените </w:t>
      </w:r>
      <w:r w:rsidR="00FB64EE" w:rsidRPr="003474BD">
        <w:t xml:space="preserve">и въведени в експлоатация </w:t>
      </w:r>
      <w:r w:rsidR="00A0548B" w:rsidRPr="003474BD">
        <w:t>съоръжения за съхранение</w:t>
      </w:r>
      <w:r w:rsidR="00FB64EE" w:rsidRPr="003474BD">
        <w:t xml:space="preserve"> на </w:t>
      </w:r>
      <w:r w:rsidR="00C807BE" w:rsidRPr="003474BD">
        <w:t xml:space="preserve">електрическа енергия </w:t>
      </w:r>
      <w:r w:rsidRPr="003474BD">
        <w:t>.</w:t>
      </w:r>
    </w:p>
    <w:bookmarkEnd w:id="32"/>
    <w:p w14:paraId="6E2ECD34" w14:textId="77777777" w:rsidR="003F1496" w:rsidRPr="003474BD" w:rsidRDefault="003F1496" w:rsidP="00A42091">
      <w:pPr>
        <w:suppressAutoHyphens/>
        <w:spacing w:before="120" w:after="120" w:line="312" w:lineRule="auto"/>
        <w:jc w:val="both"/>
      </w:pPr>
    </w:p>
    <w:p w14:paraId="14834179"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35" w:name="_Toc106285927"/>
      <w:bookmarkStart w:id="36" w:name="_Toc166258042"/>
      <w:r w:rsidRPr="003474BD">
        <w:rPr>
          <w:rFonts w:ascii="Times New Roman" w:hAnsi="Times New Roman"/>
          <w:sz w:val="24"/>
          <w:szCs w:val="24"/>
        </w:rPr>
        <w:t>11. Допустими кандидати:</w:t>
      </w:r>
      <w:bookmarkEnd w:id="35"/>
      <w:bookmarkEnd w:id="36"/>
      <w:r w:rsidRPr="003474BD">
        <w:rPr>
          <w:rFonts w:ascii="Times New Roman" w:hAnsi="Times New Roman"/>
          <w:sz w:val="24"/>
          <w:szCs w:val="24"/>
        </w:rPr>
        <w:t xml:space="preserve"> </w:t>
      </w:r>
    </w:p>
    <w:p w14:paraId="0A7382EC" w14:textId="77777777" w:rsidR="003F1496" w:rsidRPr="003474BD" w:rsidRDefault="003F1496" w:rsidP="00A42091">
      <w:pPr>
        <w:pStyle w:val="Heading3"/>
        <w:pBdr>
          <w:top w:val="single" w:sz="6" w:space="6" w:color="538135"/>
        </w:pBdr>
        <w:suppressAutoHyphens/>
        <w:spacing w:before="120" w:after="120" w:line="312" w:lineRule="auto"/>
        <w:rPr>
          <w:rFonts w:ascii="Times New Roman" w:hAnsi="Times New Roman"/>
          <w:sz w:val="24"/>
          <w:szCs w:val="24"/>
        </w:rPr>
      </w:pPr>
      <w:bookmarkStart w:id="37" w:name="_Toc106285928"/>
      <w:bookmarkStart w:id="38" w:name="_Toc166258043"/>
      <w:r w:rsidRPr="003474BD">
        <w:rPr>
          <w:rFonts w:ascii="Times New Roman" w:hAnsi="Times New Roman"/>
          <w:sz w:val="24"/>
          <w:szCs w:val="24"/>
        </w:rPr>
        <w:t>11.1 Критерии за допустимост на кандидатите</w:t>
      </w:r>
      <w:bookmarkEnd w:id="37"/>
      <w:bookmarkEnd w:id="38"/>
      <w:r w:rsidRPr="003474BD">
        <w:rPr>
          <w:rFonts w:ascii="Times New Roman" w:hAnsi="Times New Roman"/>
          <w:sz w:val="24"/>
          <w:szCs w:val="24"/>
        </w:rPr>
        <w:t xml:space="preserve"> </w:t>
      </w:r>
    </w:p>
    <w:p w14:paraId="0C72418C"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Допустими по настоящата процедура чрез подбор на предложения за изпълнение на инвестиции от крайни получатели са само кандидати, които отговарят на следните критерии:</w:t>
      </w:r>
    </w:p>
    <w:p w14:paraId="3B387980" w14:textId="46F69D07" w:rsidR="003F1496" w:rsidRPr="003474BD" w:rsidRDefault="003F1496" w:rsidP="00A42091">
      <w:pPr>
        <w:suppressAutoHyphens/>
        <w:spacing w:before="120" w:after="120" w:line="312" w:lineRule="auto"/>
        <w:jc w:val="both"/>
        <w:rPr>
          <w:color w:val="000000" w:themeColor="text1"/>
        </w:rPr>
      </w:pPr>
      <w:r w:rsidRPr="003474BD">
        <w:rPr>
          <w:b/>
          <w:color w:val="000000" w:themeColor="text1"/>
        </w:rPr>
        <w:t>1)</w:t>
      </w:r>
      <w:r w:rsidRPr="003474BD">
        <w:rPr>
          <w:color w:val="000000" w:themeColor="text1"/>
        </w:rPr>
        <w:t xml:space="preserve"> </w:t>
      </w:r>
      <w:r w:rsidR="00FA0446" w:rsidRPr="003474BD">
        <w:rPr>
          <w:color w:val="000000" w:themeColor="text1"/>
        </w:rPr>
        <w:t>Да са търговци по смисъла на Търговския закон и да са регистрирани по реда на Закона за търговския регистър и регистъра на юридическите лица с нестопанска цел или да са еквивалентно лице, регистрирано в държава членка на Европейското икономическо пространство</w:t>
      </w:r>
      <w:r w:rsidRPr="003474BD">
        <w:rPr>
          <w:color w:val="000000" w:themeColor="text1"/>
        </w:rPr>
        <w:t xml:space="preserve">. </w:t>
      </w:r>
    </w:p>
    <w:p w14:paraId="0D8B4984" w14:textId="0EC738B5" w:rsidR="00CE1D30" w:rsidRPr="003474BD" w:rsidRDefault="00FA0446" w:rsidP="00A42091">
      <w:pPr>
        <w:suppressAutoHyphens/>
        <w:spacing w:before="120" w:after="120" w:line="312" w:lineRule="auto"/>
        <w:jc w:val="both"/>
        <w:rPr>
          <w:color w:val="000000" w:themeColor="text1"/>
        </w:rPr>
      </w:pPr>
      <w:r w:rsidRPr="003474BD">
        <w:rPr>
          <w:b/>
          <w:bCs/>
          <w:color w:val="000000" w:themeColor="text1"/>
        </w:rPr>
        <w:t>2</w:t>
      </w:r>
      <w:r w:rsidR="00CE1D30" w:rsidRPr="003474BD">
        <w:rPr>
          <w:b/>
          <w:bCs/>
          <w:color w:val="000000" w:themeColor="text1"/>
        </w:rPr>
        <w:t>)</w:t>
      </w:r>
      <w:r w:rsidR="00CE1D30" w:rsidRPr="003474BD">
        <w:rPr>
          <w:color w:val="000000" w:themeColor="text1"/>
        </w:rPr>
        <w:t xml:space="preserve"> </w:t>
      </w:r>
      <w:r w:rsidRPr="003474BD">
        <w:rPr>
          <w:color w:val="000000" w:themeColor="text1"/>
        </w:rPr>
        <w:t>Да са регистрирали надлежно информацията за своите действителни собственици съгласно изискванията на чл. 63 от Закона за мерките срещу изпирането на пари, освен ако попадат в изключенията или съгласно законодателството на държавата членка на Европейското икономическо пространство по регистрацията им</w:t>
      </w:r>
      <w:r w:rsidR="00387AB0" w:rsidRPr="003474BD">
        <w:rPr>
          <w:color w:val="000000" w:themeColor="text1"/>
        </w:rPr>
        <w:t>.</w:t>
      </w:r>
    </w:p>
    <w:p w14:paraId="16153DE6" w14:textId="77777777" w:rsidR="00FA0446" w:rsidRPr="003474BD" w:rsidRDefault="00FA0446" w:rsidP="00A42091">
      <w:pPr>
        <w:suppressAutoHyphens/>
        <w:spacing w:before="120" w:after="120" w:line="312" w:lineRule="auto"/>
        <w:jc w:val="both"/>
        <w:rPr>
          <w:color w:val="000000" w:themeColor="text1"/>
        </w:rPr>
      </w:pPr>
      <w:r w:rsidRPr="00E040EE">
        <w:rPr>
          <w:color w:val="000000" w:themeColor="text1"/>
        </w:rPr>
        <w:t>По отношение на съответствието с посочените в т. 2) обстоятелства, при кандидатстване се декларира от кандидатите във формуляра за кандидатстване</w:t>
      </w:r>
      <w:r w:rsidRPr="003474BD">
        <w:rPr>
          <w:color w:val="000000" w:themeColor="text1"/>
        </w:rPr>
        <w:t>.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14:paraId="793CCE8D" w14:textId="77777777" w:rsidR="00254CD9" w:rsidRPr="003474BD" w:rsidRDefault="00254CD9" w:rsidP="00254CD9">
      <w:pPr>
        <w:suppressAutoHyphens/>
        <w:spacing w:before="120" w:after="120" w:line="312" w:lineRule="auto"/>
        <w:jc w:val="both"/>
        <w:rPr>
          <w:color w:val="000000" w:themeColor="text1"/>
        </w:rPr>
      </w:pPr>
      <w:r w:rsidRPr="003474BD">
        <w:rPr>
          <w:b/>
          <w:bCs/>
          <w:color w:val="000000" w:themeColor="text1"/>
        </w:rPr>
        <w:t>3)</w:t>
      </w:r>
      <w:r w:rsidRPr="003474BD">
        <w:rPr>
          <w:color w:val="000000" w:themeColor="text1"/>
        </w:rPr>
        <w:t xml:space="preserve"> Гаранция за участие </w:t>
      </w:r>
    </w:p>
    <w:p w14:paraId="2CCCF51B" w14:textId="3573699B" w:rsidR="00254CD9" w:rsidRPr="003474BD" w:rsidRDefault="00254CD9" w:rsidP="00254CD9">
      <w:pPr>
        <w:suppressAutoHyphens/>
        <w:spacing w:before="120" w:after="120" w:line="312" w:lineRule="auto"/>
        <w:jc w:val="both"/>
        <w:rPr>
          <w:color w:val="000000" w:themeColor="text1"/>
        </w:rPr>
      </w:pPr>
      <w:r w:rsidRPr="003474BD">
        <w:rPr>
          <w:color w:val="000000" w:themeColor="text1"/>
        </w:rPr>
        <w:lastRenderedPageBreak/>
        <w:t xml:space="preserve">Кандидатите по настоящата процедура чрез подбор за изпълнение на инвестиции от крайни получатели трябва да предоставят банкова гаранция за участие в размер на 3% от безвъзмездното финансиране, за което се кандидатства. Банковата гаранция трябва да е със срок на валидност </w:t>
      </w:r>
      <w:r w:rsidRPr="00E040EE">
        <w:rPr>
          <w:color w:val="000000" w:themeColor="text1"/>
        </w:rPr>
        <w:t>9</w:t>
      </w:r>
      <w:r w:rsidRPr="003474BD">
        <w:rPr>
          <w:color w:val="000000" w:themeColor="text1"/>
        </w:rPr>
        <w:t xml:space="preserve"> месеца считано от датата на крайния срок за подаване на предложенията по </w:t>
      </w:r>
      <w:r w:rsidRPr="00E040EE">
        <w:rPr>
          <w:color w:val="000000" w:themeColor="text1"/>
        </w:rPr>
        <w:t xml:space="preserve">т. </w:t>
      </w:r>
      <w:r w:rsidRPr="00287963">
        <w:rPr>
          <w:color w:val="000000" w:themeColor="text1"/>
        </w:rPr>
        <w:t xml:space="preserve">21. </w:t>
      </w:r>
      <w:r w:rsidRPr="00E57C4A">
        <w:rPr>
          <w:color w:val="000000" w:themeColor="text1"/>
        </w:rPr>
        <w:t>Банковата гаранция</w:t>
      </w:r>
      <w:r w:rsidRPr="00287963">
        <w:rPr>
          <w:color w:val="000000" w:themeColor="text1"/>
        </w:rPr>
        <w:t xml:space="preserve"> се предоставя по образец съгласно Приложение </w:t>
      </w:r>
      <w:r w:rsidR="00287963" w:rsidRPr="00E57C4A">
        <w:rPr>
          <w:color w:val="000000" w:themeColor="text1"/>
          <w:lang w:val="en-US"/>
        </w:rPr>
        <w:t>3</w:t>
      </w:r>
      <w:r w:rsidRPr="00287963">
        <w:rPr>
          <w:color w:val="000000" w:themeColor="text1"/>
        </w:rPr>
        <w:t xml:space="preserve">. Кандидатите могат да се възползват и от образците на банката – издател на гаранцията при условие, че същата съдържа необходимите реквизити, съгласно приложения образец по Приложение </w:t>
      </w:r>
      <w:r w:rsidR="00287963" w:rsidRPr="00E57C4A">
        <w:rPr>
          <w:color w:val="000000" w:themeColor="text1"/>
          <w:lang w:val="en-US"/>
        </w:rPr>
        <w:t>3</w:t>
      </w:r>
      <w:r w:rsidRPr="00287963">
        <w:rPr>
          <w:color w:val="000000" w:themeColor="text1"/>
        </w:rPr>
        <w:t>.</w:t>
      </w:r>
    </w:p>
    <w:p w14:paraId="4DE3C647" w14:textId="77777777" w:rsidR="00254CD9" w:rsidRPr="003474BD" w:rsidRDefault="00254CD9" w:rsidP="00254CD9">
      <w:pPr>
        <w:suppressAutoHyphens/>
        <w:spacing w:before="120" w:after="120" w:line="312" w:lineRule="auto"/>
        <w:jc w:val="both"/>
        <w:rPr>
          <w:color w:val="000000" w:themeColor="text1"/>
        </w:rPr>
      </w:pPr>
      <w:r w:rsidRPr="003474BD">
        <w:rPr>
          <w:color w:val="000000" w:themeColor="text1"/>
        </w:rPr>
        <w:t>Банковата гаранция се предоставя като обезпечение, че кандидатът ще сключи договор за финансиране със СНД при одобрено за финансиране проектно предложение. В случай, че кандидатът се откаже от договора за финансиране, оттегли предложението си и/или не се яви да го сключи в срок до 15 работни дни от влизането в сила на решението за предоставяне на средства от НПВУ, СНД има право да усвои банковата гаранция.</w:t>
      </w:r>
    </w:p>
    <w:p w14:paraId="35E1C3D0" w14:textId="3D174831" w:rsidR="002D5934" w:rsidRPr="003474BD" w:rsidRDefault="00454573" w:rsidP="00254CD9">
      <w:pPr>
        <w:suppressAutoHyphens/>
        <w:spacing w:before="120" w:after="120" w:line="312" w:lineRule="auto"/>
        <w:jc w:val="both"/>
        <w:rPr>
          <w:color w:val="000000" w:themeColor="text1"/>
        </w:rPr>
      </w:pPr>
      <w:r w:rsidRPr="003474BD">
        <w:rPr>
          <w:color w:val="000000" w:themeColor="text1"/>
        </w:rPr>
        <w:t>При</w:t>
      </w:r>
      <w:r w:rsidR="00254CD9" w:rsidRPr="003474BD">
        <w:rPr>
          <w:color w:val="000000" w:themeColor="text1"/>
        </w:rPr>
        <w:t xml:space="preserve"> сключване на договора за финансиране и </w:t>
      </w:r>
      <w:r w:rsidRPr="003474BD">
        <w:rPr>
          <w:color w:val="000000" w:themeColor="text1"/>
        </w:rPr>
        <w:t xml:space="preserve">след </w:t>
      </w:r>
      <w:r w:rsidR="00254CD9" w:rsidRPr="003474BD">
        <w:rPr>
          <w:color w:val="000000" w:themeColor="text1"/>
        </w:rPr>
        <w:t>предоставяне на банкова гаранция за изпълнение, банковата гаранция за участие се освобождава</w:t>
      </w:r>
      <w:r w:rsidR="002D5934" w:rsidRPr="003474BD">
        <w:rPr>
          <w:color w:val="000000" w:themeColor="text1"/>
        </w:rPr>
        <w:t>.</w:t>
      </w:r>
    </w:p>
    <w:p w14:paraId="47DB75C9" w14:textId="3E03274A" w:rsidR="00122A52" w:rsidRPr="003474BD" w:rsidRDefault="00122A52" w:rsidP="00122A52">
      <w:pPr>
        <w:suppressAutoHyphens/>
        <w:spacing w:before="120" w:after="120" w:line="312" w:lineRule="auto"/>
        <w:jc w:val="both"/>
      </w:pPr>
      <w:r w:rsidRPr="003474BD">
        <w:rPr>
          <w:b/>
          <w:bCs/>
        </w:rPr>
        <w:t>4)</w:t>
      </w:r>
      <w:r w:rsidR="003E7B48" w:rsidRPr="003474BD">
        <w:t xml:space="preserve"> </w:t>
      </w:r>
      <w:r w:rsidRPr="003474BD">
        <w:t>Да имат самостоятелно или чрез своя(ите) акционер(и)/съдружник(ци) собствен капитал от:</w:t>
      </w:r>
    </w:p>
    <w:p w14:paraId="02ECB49B" w14:textId="59607517" w:rsidR="00122A52" w:rsidRPr="00E040EE" w:rsidRDefault="00F418BB" w:rsidP="00F418BB">
      <w:pPr>
        <w:suppressAutoHyphens/>
        <w:spacing w:before="120" w:after="120" w:line="312" w:lineRule="auto"/>
        <w:jc w:val="both"/>
      </w:pPr>
      <w:r w:rsidRPr="003474BD">
        <w:t>(</w:t>
      </w:r>
      <w:r w:rsidR="007D03ED" w:rsidRPr="003474BD">
        <w:t>а</w:t>
      </w:r>
      <w:r w:rsidRPr="00E040EE">
        <w:t xml:space="preserve">) 6 млн. лв. за </w:t>
      </w:r>
      <w:r w:rsidR="00F81588" w:rsidRPr="00E040EE">
        <w:t xml:space="preserve">проектни </w:t>
      </w:r>
      <w:r w:rsidRPr="00E040EE">
        <w:t xml:space="preserve">предложения за изграждане на съоръжение за съхранение с планиран капацитет </w:t>
      </w:r>
      <w:r w:rsidR="001F3996" w:rsidRPr="00E040EE">
        <w:t>&gt;</w:t>
      </w:r>
      <w:r w:rsidR="00532767" w:rsidRPr="00E040EE">
        <w:t xml:space="preserve">= </w:t>
      </w:r>
      <w:r w:rsidR="001F3996" w:rsidRPr="00E040EE">
        <w:t xml:space="preserve"> 20 MWh и &lt;= 50 MWh;</w:t>
      </w:r>
    </w:p>
    <w:p w14:paraId="159EEE22" w14:textId="6478DF1A" w:rsidR="001F3996" w:rsidRPr="003474BD" w:rsidRDefault="001F3996" w:rsidP="001F3996">
      <w:pPr>
        <w:suppressAutoHyphens/>
        <w:spacing w:before="120" w:after="120" w:line="312" w:lineRule="auto"/>
        <w:jc w:val="both"/>
      </w:pPr>
      <w:r w:rsidRPr="00E040EE">
        <w:t>(</w:t>
      </w:r>
      <w:r w:rsidR="007D03ED" w:rsidRPr="00E040EE">
        <w:t>б</w:t>
      </w:r>
      <w:r w:rsidRPr="00E040EE">
        <w:t>) 10 млн. лв. за проектни</w:t>
      </w:r>
      <w:r w:rsidRPr="003474BD">
        <w:t xml:space="preserve"> предложения за изграждане на съоръжение за съхранение с планиран капацитет &gt; 50 MWh</w:t>
      </w:r>
      <w:r w:rsidR="00376AB3" w:rsidRPr="003474BD">
        <w:t>.</w:t>
      </w:r>
    </w:p>
    <w:p w14:paraId="5EF59576" w14:textId="77777777" w:rsidR="003474BD" w:rsidRPr="003474BD" w:rsidRDefault="005734B1" w:rsidP="003474BD">
      <w:pPr>
        <w:suppressAutoHyphens/>
        <w:spacing w:before="120" w:after="120" w:line="312" w:lineRule="auto"/>
        <w:jc w:val="both"/>
      </w:pPr>
      <w:r w:rsidRPr="003474BD">
        <w:t>Изискването за собствен капитал може да бъде изпълнено само чрез директните акционерите/съдружниците на кандидата. Други лица, свързани с кандидата, не се вземат предвид при проверката на съответствието с изискването.</w:t>
      </w:r>
      <w:r w:rsidR="000C5154" w:rsidRPr="003474BD">
        <w:t xml:space="preserve"> </w:t>
      </w:r>
    </w:p>
    <w:p w14:paraId="4ED24FC9" w14:textId="70E00CC2" w:rsidR="005734B1" w:rsidRPr="003474BD" w:rsidRDefault="003474BD" w:rsidP="003474BD">
      <w:pPr>
        <w:suppressAutoHyphens/>
        <w:spacing w:before="120" w:after="120" w:line="312" w:lineRule="auto"/>
        <w:jc w:val="both"/>
      </w:pPr>
      <w:r w:rsidRPr="003474BD">
        <w:t>Изискването за собствен капитал не може да бъде изпълнено чрез физическо лице – съдружник или акционер, което не изготвя финансови отчети в съответствие със Закона за счетоводството и приложимите счетоводни стандарти.</w:t>
      </w:r>
    </w:p>
    <w:p w14:paraId="4DD962F1" w14:textId="254F9CC7" w:rsidR="00122A52" w:rsidRPr="003474BD" w:rsidRDefault="00122A52" w:rsidP="00122A52">
      <w:pPr>
        <w:suppressAutoHyphens/>
        <w:spacing w:before="120" w:after="120" w:line="312" w:lineRule="auto"/>
        <w:jc w:val="both"/>
      </w:pPr>
      <w:r w:rsidRPr="003474BD">
        <w:t xml:space="preserve">В случай на множество акционери или съдружници стойността на капитала ще бъде изчислена на базата на среднопретеглена стойност с позоваване на дяловото участие, притежавано от съответните акционери или съдружници в </w:t>
      </w:r>
      <w:r w:rsidR="005734B1" w:rsidRPr="003474BD">
        <w:t xml:space="preserve">кандидата </w:t>
      </w:r>
      <w:r w:rsidRPr="003474BD">
        <w:t xml:space="preserve">(напр. сумата от капитала × процент от собствения капитал за всеки акционер или съдружник). </w:t>
      </w:r>
    </w:p>
    <w:p w14:paraId="3BDA6B62" w14:textId="505441E5" w:rsidR="00BF7BAA" w:rsidRPr="003474BD" w:rsidRDefault="00122A52" w:rsidP="003474BD">
      <w:pPr>
        <w:suppressAutoHyphens/>
        <w:spacing w:before="120" w:after="120" w:line="312" w:lineRule="auto"/>
        <w:jc w:val="both"/>
      </w:pPr>
      <w:r w:rsidRPr="003474BD">
        <w:t xml:space="preserve">Ако даден акционер или съдружник е инвестиционен фонд или е мажоритарно притежаван или контролиран от него и в резултат на това не може да изпълни </w:t>
      </w:r>
      <w:r w:rsidRPr="003474BD">
        <w:lastRenderedPageBreak/>
        <w:t>изискването за капитала, тогава капитал</w:t>
      </w:r>
      <w:r w:rsidR="003474BD" w:rsidRPr="003474BD">
        <w:t>ът</w:t>
      </w:r>
      <w:r w:rsidRPr="003474BD">
        <w:t xml:space="preserve"> за такъв фонд се изчислява като 20 % от неотменимите ангажименти, които този инвестиционен фонд има от един или повече инвеститори, и този акционер трябва да представи писмо от главния финансов директор или еквивалентно лице на фонда, потвърждаващо наличието на обща сума в неангажирани средства, равна на дела от собствения капитал в проекта, който се разпределя твърдо за проекта в случай на успешно предложение.</w:t>
      </w:r>
    </w:p>
    <w:p w14:paraId="7DCAF8A7" w14:textId="7117D44E" w:rsidR="00122A52" w:rsidRPr="003474BD" w:rsidRDefault="00122A52" w:rsidP="00BF7BAA">
      <w:pPr>
        <w:suppressAutoHyphens/>
        <w:spacing w:before="120" w:after="120" w:line="312" w:lineRule="auto"/>
        <w:jc w:val="both"/>
      </w:pPr>
      <w:r w:rsidRPr="003474BD">
        <w:t>По отношение на съответствието с посочените в т. 4) обстоятелства, при кандидатстване се представят годишни финансови отчети или консолидирани годишни финансови отчети от последната приключена финансова година.</w:t>
      </w:r>
      <w:r w:rsidR="00BF7BAA" w:rsidRPr="003474BD">
        <w:t xml:space="preserve"> </w:t>
      </w:r>
      <w:r w:rsidR="00086F51">
        <w:t xml:space="preserve">При новоучреден кандидат </w:t>
      </w:r>
      <w:r w:rsidR="00086F51" w:rsidRPr="00086F51">
        <w:t xml:space="preserve">или </w:t>
      </w:r>
      <w:r w:rsidR="00086F51">
        <w:t xml:space="preserve">такъв, който желае да се </w:t>
      </w:r>
      <w:r w:rsidR="00086F51" w:rsidRPr="00086F51">
        <w:t xml:space="preserve">приведе в съответствие </w:t>
      </w:r>
      <w:r w:rsidR="00086F51">
        <w:t>след приключване на финансовата година</w:t>
      </w:r>
      <w:r w:rsidR="00086F51" w:rsidRPr="00086F51">
        <w:t xml:space="preserve">, </w:t>
      </w:r>
      <w:r w:rsidR="00086F51">
        <w:t xml:space="preserve">съответствието може да се докаже и </w:t>
      </w:r>
      <w:r w:rsidR="00086F51" w:rsidRPr="00086F51">
        <w:t>чрез одитиран междинен финансов отчет</w:t>
      </w:r>
      <w:r w:rsidR="009E6A56">
        <w:t xml:space="preserve"> или междинен консолидиран финансов отчет</w:t>
      </w:r>
      <w:r w:rsidR="00086F51" w:rsidRPr="00086F51">
        <w:t>.</w:t>
      </w:r>
    </w:p>
    <w:p w14:paraId="6EB21341" w14:textId="566D6B49" w:rsidR="00122A52" w:rsidRPr="003474BD" w:rsidRDefault="00122A52" w:rsidP="00122A52">
      <w:pPr>
        <w:suppressAutoHyphens/>
        <w:spacing w:before="120" w:after="120" w:line="312" w:lineRule="auto"/>
        <w:jc w:val="both"/>
      </w:pPr>
      <w:r w:rsidRPr="003474BD">
        <w:rPr>
          <w:b/>
          <w:bCs/>
        </w:rPr>
        <w:t>5)</w:t>
      </w:r>
      <w:r w:rsidRPr="003474BD">
        <w:t xml:space="preserve"> При сключване на договор за финансиране, крайният получател предоставя в полза на СНД банкова гаранция за добро изпълнение в размер на 10% от одобреното безвъзмездно финансиране. Банковата гаранция трябва да е със срок на валидност </w:t>
      </w:r>
      <w:r w:rsidRPr="00086F51">
        <w:t>до 30.09.2026 г.</w:t>
      </w:r>
      <w:r w:rsidRPr="003474BD">
        <w:t xml:space="preserve"> Банковата гаранция се предоставя по образец съгласно Приложение </w:t>
      </w:r>
      <w:r w:rsidR="00DD7262">
        <w:t>4</w:t>
      </w:r>
      <w:r w:rsidRPr="003474BD">
        <w:t xml:space="preserve">. Кандидатите могат да се възползват и от образците на банката – издател на гаранцията при условие, че същата съдържа необходимите реквизити, съгласно приложения образец по </w:t>
      </w:r>
      <w:r w:rsidRPr="00287963">
        <w:t xml:space="preserve">Приложение </w:t>
      </w:r>
      <w:r w:rsidR="00287963" w:rsidRPr="00E57C4A">
        <w:rPr>
          <w:color w:val="000000" w:themeColor="text1"/>
          <w:lang w:val="en-US"/>
        </w:rPr>
        <w:t>4</w:t>
      </w:r>
      <w:r w:rsidRPr="00287963">
        <w:t>.</w:t>
      </w:r>
    </w:p>
    <w:p w14:paraId="409996BB" w14:textId="77777777" w:rsidR="00122A52" w:rsidRPr="003474BD" w:rsidRDefault="00122A52" w:rsidP="00122A52">
      <w:pPr>
        <w:suppressAutoHyphens/>
        <w:spacing w:before="120" w:after="120" w:line="312" w:lineRule="auto"/>
        <w:jc w:val="both"/>
      </w:pPr>
      <w:r w:rsidRPr="003474BD">
        <w:t>СНД освобождава гаранцията за добро изпълнение на договора, в сроковете и при условията на сключения между страните договор за финансиране, след уреждане на всички финансови претенции помежду им.</w:t>
      </w:r>
    </w:p>
    <w:p w14:paraId="5F384FFC" w14:textId="0C13C9EE" w:rsidR="00122A52" w:rsidRPr="003474BD" w:rsidRDefault="00122A52" w:rsidP="00122A52">
      <w:pPr>
        <w:suppressAutoHyphens/>
        <w:spacing w:before="120" w:after="120" w:line="312" w:lineRule="auto"/>
        <w:jc w:val="both"/>
      </w:pPr>
      <w:r w:rsidRPr="003474BD">
        <w:rPr>
          <w:b/>
          <w:bCs/>
        </w:rPr>
        <w:t>6)</w:t>
      </w:r>
      <w:r w:rsidRPr="003474BD">
        <w:t xml:space="preserve"> Да са ангажирали технически ръководител (физическo или юридическо лице)</w:t>
      </w:r>
      <w:r w:rsidR="00FB71AE" w:rsidRPr="003474BD">
        <w:t xml:space="preserve"> при изграждането на съоръжението за съхранение на електрическа енергия</w:t>
      </w:r>
      <w:r w:rsidRPr="003474BD">
        <w:t>, който да е работил по сходен проект, като сходността се определя от следните категории:</w:t>
      </w:r>
    </w:p>
    <w:p w14:paraId="486F3F74" w14:textId="12305E9F" w:rsidR="00122A52" w:rsidRPr="003474BD" w:rsidRDefault="00122A52" w:rsidP="00122A52">
      <w:pPr>
        <w:suppressAutoHyphens/>
        <w:spacing w:before="120" w:after="120" w:line="312" w:lineRule="auto"/>
        <w:jc w:val="both"/>
      </w:pPr>
      <w:r w:rsidRPr="003474BD">
        <w:t xml:space="preserve">- Проект(и) с най-малко </w:t>
      </w:r>
      <w:r w:rsidR="007D03ED" w:rsidRPr="003474BD">
        <w:t xml:space="preserve">10 </w:t>
      </w:r>
      <w:r w:rsidRPr="003474BD">
        <w:t xml:space="preserve">MW инсталирана мощност на обект за производство на електрическата енергия </w:t>
      </w:r>
      <w:r w:rsidR="00CE14D8" w:rsidRPr="003474BD">
        <w:t>или съоръжение за съхранение</w:t>
      </w:r>
      <w:r w:rsidRPr="003474BD">
        <w:t xml:space="preserve">, присъединени към мрежи средно или високо напрежение, за проектни предложения с инсталирана мощност </w:t>
      </w:r>
      <w:r w:rsidR="00FB71AE" w:rsidRPr="003474BD">
        <w:t xml:space="preserve">на съоръжението за съхранение на електрическа енергия </w:t>
      </w:r>
      <w:r w:rsidRPr="003474BD">
        <w:t xml:space="preserve">от </w:t>
      </w:r>
      <w:r w:rsidR="007D03ED" w:rsidRPr="003474BD">
        <w:t xml:space="preserve">10 </w:t>
      </w:r>
      <w:r w:rsidRPr="003474BD">
        <w:t>MW до 20 MW.</w:t>
      </w:r>
    </w:p>
    <w:p w14:paraId="6EE21B28" w14:textId="3269ACB6" w:rsidR="00122A52" w:rsidRPr="003474BD" w:rsidRDefault="00122A52" w:rsidP="00122A52">
      <w:pPr>
        <w:suppressAutoHyphens/>
        <w:spacing w:before="120" w:after="120" w:line="312" w:lineRule="auto"/>
        <w:jc w:val="both"/>
      </w:pPr>
      <w:r w:rsidRPr="003474BD">
        <w:t xml:space="preserve">- Проект(и) с най-малко 20 MW инсталирана мощност на обект за производство на електрическа енергия </w:t>
      </w:r>
      <w:r w:rsidR="00CE14D8" w:rsidRPr="003474BD">
        <w:t>или съоръжение за съхранение</w:t>
      </w:r>
      <w:r w:rsidRPr="003474BD">
        <w:t xml:space="preserve">, присъединени към мрежи високо напрежение, за проектни предложения с инсталирана мощност </w:t>
      </w:r>
      <w:r w:rsidR="00FB71AE" w:rsidRPr="003474BD">
        <w:t xml:space="preserve">на съоръжението за съхранение на електрическа енергия </w:t>
      </w:r>
      <w:r w:rsidRPr="003474BD">
        <w:t xml:space="preserve">над 20 MW. </w:t>
      </w:r>
    </w:p>
    <w:p w14:paraId="3C70FCA3" w14:textId="3EB9AA8F" w:rsidR="003F1496" w:rsidRPr="003474BD" w:rsidRDefault="00122A52" w:rsidP="00287963">
      <w:pPr>
        <w:suppressAutoHyphens/>
        <w:spacing w:before="120" w:after="120" w:line="312" w:lineRule="auto"/>
        <w:jc w:val="both"/>
      </w:pPr>
      <w:r w:rsidRPr="003474BD">
        <w:lastRenderedPageBreak/>
        <w:t xml:space="preserve">По отношение на съответствието с посочените в т. 6) обстоятелства, при кандидатстване се декларира от кандидатите в декларация по образец Приложение </w:t>
      </w:r>
      <w:r w:rsidR="00287963" w:rsidRPr="00E57C4A">
        <w:rPr>
          <w:lang w:val="en-US"/>
        </w:rPr>
        <w:t>5</w:t>
      </w:r>
      <w:r w:rsidR="00287963">
        <w:rPr>
          <w:lang w:val="en-US"/>
        </w:rPr>
        <w:t xml:space="preserve"> </w:t>
      </w:r>
      <w:r w:rsidR="00287963">
        <w:t>и се предоставят доказателства за поетия ангажимент</w:t>
      </w:r>
      <w:r w:rsidR="00134DDC">
        <w:t xml:space="preserve"> и изискуем опит</w:t>
      </w:r>
      <w:r w:rsidR="00287963">
        <w:t>, например: граждански договор,</w:t>
      </w:r>
      <w:r w:rsidR="00134DDC">
        <w:t xml:space="preserve"> </w:t>
      </w:r>
      <w:r w:rsidR="00287963">
        <w:t xml:space="preserve">трудов договор, </w:t>
      </w:r>
      <w:r w:rsidR="00134DDC">
        <w:t>автобиография</w:t>
      </w:r>
      <w:r w:rsidR="00287963">
        <w:t xml:space="preserve">, референции за изпълнение </w:t>
      </w:r>
      <w:r w:rsidR="00134DDC">
        <w:t xml:space="preserve">на </w:t>
      </w:r>
      <w:r w:rsidR="00287963">
        <w:t xml:space="preserve"> проекти и</w:t>
      </w:r>
      <w:r w:rsidR="00134DDC">
        <w:t xml:space="preserve"> </w:t>
      </w:r>
      <w:r w:rsidR="00287963">
        <w:t>т.н</w:t>
      </w:r>
      <w:r w:rsidRPr="00287963">
        <w:t>.</w:t>
      </w:r>
    </w:p>
    <w:p w14:paraId="5598DD05" w14:textId="77777777" w:rsidR="003F1496" w:rsidRPr="003474BD" w:rsidRDefault="003F1496" w:rsidP="00A42091">
      <w:pPr>
        <w:pStyle w:val="Heading3"/>
        <w:suppressAutoHyphens/>
        <w:spacing w:before="120" w:after="120" w:line="312" w:lineRule="auto"/>
        <w:rPr>
          <w:rFonts w:ascii="Times New Roman" w:hAnsi="Times New Roman"/>
          <w:sz w:val="24"/>
          <w:szCs w:val="24"/>
        </w:rPr>
      </w:pPr>
      <w:bookmarkStart w:id="39" w:name="_Toc106285929"/>
      <w:bookmarkStart w:id="40" w:name="_Toc166258044"/>
      <w:r w:rsidRPr="003474BD">
        <w:rPr>
          <w:rFonts w:ascii="Times New Roman" w:hAnsi="Times New Roman"/>
          <w:sz w:val="24"/>
          <w:szCs w:val="24"/>
        </w:rPr>
        <w:t>11.2. Критерии за недопустимост на кандидатите</w:t>
      </w:r>
      <w:bookmarkEnd w:id="39"/>
      <w:bookmarkEnd w:id="40"/>
      <w:r w:rsidRPr="003474BD">
        <w:rPr>
          <w:rFonts w:ascii="Times New Roman" w:hAnsi="Times New Roman"/>
          <w:sz w:val="24"/>
          <w:szCs w:val="24"/>
        </w:rPr>
        <w:t xml:space="preserve"> </w:t>
      </w:r>
    </w:p>
    <w:p w14:paraId="6463E08E" w14:textId="77777777" w:rsidR="003F1496" w:rsidRPr="003474BD" w:rsidRDefault="003F1496" w:rsidP="00A42091">
      <w:pPr>
        <w:suppressAutoHyphens/>
        <w:spacing w:before="120" w:after="120" w:line="312" w:lineRule="auto"/>
        <w:jc w:val="both"/>
        <w:rPr>
          <w:color w:val="000000" w:themeColor="text1"/>
        </w:rPr>
      </w:pPr>
      <w:r w:rsidRPr="003474BD">
        <w:rPr>
          <w:b/>
          <w:color w:val="000000" w:themeColor="text1"/>
        </w:rPr>
        <w:t xml:space="preserve">1) </w:t>
      </w:r>
      <w:r w:rsidRPr="003474BD">
        <w:rPr>
          <w:color w:val="000000" w:themeColor="text1"/>
        </w:rPr>
        <w:t xml:space="preserve">Съгласно чл. 6 от ПМС №114/2022 г., потенциалните кандидати </w:t>
      </w:r>
      <w:r w:rsidRPr="003474BD">
        <w:rPr>
          <w:b/>
          <w:color w:val="000000" w:themeColor="text1"/>
        </w:rPr>
        <w:t>не могат</w:t>
      </w:r>
      <w:r w:rsidRPr="003474BD">
        <w:rPr>
          <w:color w:val="000000" w:themeColor="text1"/>
        </w:rPr>
        <w:t xml:space="preserve">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66AA9C52"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a) са обявени в несъстоятелност;</w:t>
      </w:r>
    </w:p>
    <w:p w14:paraId="3A3BF5D8"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б) са в производство по несъстоятелност;</w:t>
      </w:r>
    </w:p>
    <w:p w14:paraId="29532335"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 xml:space="preserve">в) са в процедура по ликвидация; </w:t>
      </w:r>
    </w:p>
    <w:p w14:paraId="757A6385"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г) са сключили извънсъдебно споразумение с кредиторите си по смисъла на чл. 740 от Търговския закон;</w:t>
      </w:r>
    </w:p>
    <w:p w14:paraId="7348D927"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д) са преустановили дейността си;</w:t>
      </w:r>
    </w:p>
    <w:p w14:paraId="4CBFA67A" w14:textId="77777777" w:rsidR="003F1496" w:rsidRPr="003474BD" w:rsidRDefault="003F1496" w:rsidP="00A42091">
      <w:pPr>
        <w:suppressAutoHyphens/>
        <w:spacing w:before="120" w:after="120" w:line="312" w:lineRule="auto"/>
        <w:jc w:val="both"/>
        <w:rPr>
          <w:color w:val="000000" w:themeColor="text1"/>
        </w:rPr>
      </w:pPr>
      <w:r w:rsidRPr="003474BD" w:rsidDel="005D3556">
        <w:rPr>
          <w:color w:val="000000" w:themeColor="text1"/>
        </w:rPr>
        <w:t>е)</w:t>
      </w:r>
      <w:r w:rsidRPr="003474BD">
        <w:rPr>
          <w:color w:val="000000" w:themeColor="text1"/>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6F627327"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2EE8A165"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з) са сключили споразумение с други лица с цел нарушаване на конкуренцията, когато нарушението е установено с акт на компетентен орган;</w:t>
      </w:r>
    </w:p>
    <w:p w14:paraId="2D846DD8"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4C76BC41" w14:textId="31CF92B3" w:rsidR="003F1496" w:rsidRPr="003474BD" w:rsidRDefault="003F1496" w:rsidP="00A42091">
      <w:pPr>
        <w:suppressAutoHyphens/>
        <w:spacing w:before="120" w:after="120" w:line="312" w:lineRule="auto"/>
        <w:jc w:val="both"/>
        <w:rPr>
          <w:color w:val="000000" w:themeColor="text1"/>
        </w:rPr>
      </w:pPr>
      <w:r w:rsidRPr="003474BD">
        <w:rPr>
          <w:color w:val="000000" w:themeColor="text1"/>
        </w:rPr>
        <w:t xml:space="preserve">й) имат публични задължения по чл. 162, ал. 2, т. 1 (за данъци, акцизи, мита, задължителни осигурителни вноски и други вноски за бюджета)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w:t>
      </w:r>
      <w:r w:rsidRPr="003474BD">
        <w:rPr>
          <w:color w:val="000000" w:themeColor="text1"/>
        </w:rPr>
        <w:lastRenderedPageBreak/>
        <w:t>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0220D9B7"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к) е установено, че:</w:t>
      </w:r>
    </w:p>
    <w:p w14:paraId="414CFBA0" w14:textId="77777777" w:rsidR="003F1496" w:rsidRPr="003474BD" w:rsidRDefault="003F1496" w:rsidP="00A42091">
      <w:pPr>
        <w:suppressAutoHyphens/>
        <w:spacing w:before="120" w:after="120" w:line="312" w:lineRule="auto"/>
        <w:ind w:left="567"/>
        <w:jc w:val="both"/>
        <w:rPr>
          <w:color w:val="000000" w:themeColor="text1"/>
        </w:rPr>
      </w:pPr>
      <w:r w:rsidRPr="003474BD">
        <w:rPr>
          <w:color w:val="000000" w:themeColor="text1"/>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415E012B" w14:textId="77777777" w:rsidR="003F1496" w:rsidRPr="003474BD" w:rsidRDefault="003F1496" w:rsidP="00A42091">
      <w:pPr>
        <w:suppressAutoHyphens/>
        <w:spacing w:before="120" w:after="120" w:line="312" w:lineRule="auto"/>
        <w:ind w:left="567"/>
        <w:jc w:val="both"/>
        <w:rPr>
          <w:color w:val="000000" w:themeColor="text1"/>
        </w:rPr>
      </w:pPr>
      <w:r w:rsidRPr="003474BD">
        <w:rPr>
          <w:color w:val="000000" w:themeColor="text1"/>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E5FA982"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6F6C6BA"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0432B9FF"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н) лицата, които представляват кандидата, са осъждани с влязла в сила присъда за:</w:t>
      </w:r>
    </w:p>
    <w:p w14:paraId="291618BF" w14:textId="77777777" w:rsidR="003F1496" w:rsidRPr="003474BD" w:rsidRDefault="003F1496" w:rsidP="00A42091">
      <w:pPr>
        <w:suppressAutoHyphens/>
        <w:spacing w:before="120" w:after="120" w:line="312" w:lineRule="auto"/>
        <w:ind w:left="567"/>
        <w:jc w:val="both"/>
        <w:rPr>
          <w:color w:val="000000" w:themeColor="text1"/>
        </w:rPr>
      </w:pPr>
      <w:r w:rsidRPr="003474BD">
        <w:rPr>
          <w:color w:val="000000" w:themeColor="text1"/>
        </w:rPr>
        <w:t>1) престъпление по чл. 108а, чл. 159а – 159г, чл. 172, чл. 192а, чл. 194 – 217, чл. 219 – 252, чл. 253 – 260, чл. 301 – 307, чл. 321, чл. 321а и чл. 352 – 353е от Наказателния кодекс;</w:t>
      </w:r>
    </w:p>
    <w:p w14:paraId="4FC01833" w14:textId="77777777" w:rsidR="003F1496" w:rsidRPr="003474BD" w:rsidRDefault="003F1496" w:rsidP="00A42091">
      <w:pPr>
        <w:suppressAutoHyphens/>
        <w:spacing w:before="120" w:after="120" w:line="312" w:lineRule="auto"/>
        <w:ind w:left="567"/>
        <w:jc w:val="both"/>
        <w:rPr>
          <w:color w:val="000000" w:themeColor="text1"/>
        </w:rPr>
      </w:pPr>
      <w:r w:rsidRPr="003474BD">
        <w:rPr>
          <w:color w:val="000000" w:themeColor="text1"/>
        </w:rPr>
        <w:t>2) престъпление, аналогично на тези по горната хипотеза (буква н), т. 1)), в друга държава членка или трета страна.</w:t>
      </w:r>
    </w:p>
    <w:p w14:paraId="176D3AF1"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547ADDEE"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п) лицата, които представляват кандидата, са опитали да:</w:t>
      </w:r>
    </w:p>
    <w:p w14:paraId="08A0DE03" w14:textId="405BDD0E" w:rsidR="003F1496" w:rsidRPr="003474BD" w:rsidRDefault="003F1496" w:rsidP="00A42091">
      <w:pPr>
        <w:suppressAutoHyphens/>
        <w:spacing w:before="120" w:after="120" w:line="312" w:lineRule="auto"/>
        <w:ind w:left="567"/>
        <w:jc w:val="both"/>
        <w:rPr>
          <w:color w:val="000000" w:themeColor="text1"/>
        </w:rPr>
      </w:pPr>
      <w:r w:rsidRPr="003474BD">
        <w:rPr>
          <w:color w:val="000000" w:themeColor="text1"/>
        </w:rPr>
        <w:t>1)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1E71D7CF" w14:textId="77777777" w:rsidR="003F1496" w:rsidRPr="003474BD" w:rsidRDefault="003F1496" w:rsidP="00A42091">
      <w:pPr>
        <w:suppressAutoHyphens/>
        <w:spacing w:before="120" w:after="120" w:line="312" w:lineRule="auto"/>
        <w:ind w:left="567"/>
        <w:jc w:val="both"/>
        <w:rPr>
          <w:color w:val="000000" w:themeColor="text1"/>
        </w:rPr>
      </w:pPr>
      <w:r w:rsidRPr="003474BD">
        <w:rPr>
          <w:color w:val="000000" w:themeColor="text1"/>
        </w:rPr>
        <w:lastRenderedPageBreak/>
        <w:t>2) получат информация, която може да им даде неоснователно предимство в процедурата за предоставяне на средства.</w:t>
      </w:r>
    </w:p>
    <w:p w14:paraId="1070D4F4"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1968D96E" w14:textId="77777777" w:rsidR="003F1496" w:rsidRPr="003474BD" w:rsidRDefault="003F1496" w:rsidP="00A42091">
      <w:pPr>
        <w:suppressAutoHyphens/>
        <w:spacing w:before="120" w:after="120" w:line="312" w:lineRule="auto"/>
        <w:jc w:val="both"/>
        <w:rPr>
          <w:b/>
          <w:color w:val="000000" w:themeColor="text1"/>
        </w:rPr>
      </w:pPr>
    </w:p>
    <w:p w14:paraId="2CAF8F76" w14:textId="3FADC555" w:rsidR="0001164B" w:rsidRPr="003474BD" w:rsidRDefault="00C61C68" w:rsidP="00A42091">
      <w:pPr>
        <w:suppressAutoHyphens/>
        <w:spacing w:before="120" w:after="120" w:line="312" w:lineRule="auto"/>
        <w:jc w:val="both"/>
        <w:rPr>
          <w:color w:val="000000" w:themeColor="text1"/>
        </w:rPr>
      </w:pPr>
      <w:r w:rsidRPr="003474BD">
        <w:rPr>
          <w:b/>
          <w:color w:val="000000" w:themeColor="text1"/>
        </w:rPr>
        <w:t>2</w:t>
      </w:r>
      <w:r w:rsidR="0001164B" w:rsidRPr="003474BD">
        <w:rPr>
          <w:b/>
          <w:color w:val="000000" w:themeColor="text1"/>
        </w:rPr>
        <w:t>)</w:t>
      </w:r>
      <w:r w:rsidR="0001164B" w:rsidRPr="003474BD">
        <w:rPr>
          <w:color w:val="000000" w:themeColor="text1"/>
        </w:rPr>
        <w:t xml:space="preserve"> </w:t>
      </w:r>
      <w:bookmarkStart w:id="41" w:name="_Hlk146703872"/>
      <w:r w:rsidR="0001164B" w:rsidRPr="003474BD">
        <w:rPr>
          <w:color w:val="000000" w:themeColor="text1"/>
        </w:rPr>
        <w:t>Не могат да участват в процедурата и да получат безвъзмездно финансиране 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bookmarkEnd w:id="41"/>
      <w:r w:rsidR="0001164B" w:rsidRPr="003474BD">
        <w:rPr>
          <w:color w:val="000000" w:themeColor="text1"/>
        </w:rPr>
        <w:t xml:space="preserve">. </w:t>
      </w:r>
    </w:p>
    <w:p w14:paraId="661F6500" w14:textId="77777777" w:rsidR="0001164B" w:rsidRPr="003474BD" w:rsidRDefault="0001164B" w:rsidP="00A42091">
      <w:pPr>
        <w:suppressAutoHyphens/>
        <w:spacing w:before="120" w:after="120" w:line="312" w:lineRule="auto"/>
        <w:jc w:val="both"/>
        <w:rPr>
          <w:color w:val="000000" w:themeColor="text1"/>
        </w:rPr>
      </w:pPr>
    </w:p>
    <w:p w14:paraId="5D72A79C" w14:textId="77777777" w:rsidR="0001164B" w:rsidRPr="003474BD" w:rsidRDefault="0001164B"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b/>
          <w:color w:val="000000" w:themeColor="text1"/>
        </w:rPr>
        <w:t>ВАЖНО:</w:t>
      </w:r>
      <w:r w:rsidRPr="003474BD">
        <w:rPr>
          <w:color w:val="000000" w:themeColor="text1"/>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към момента на кандидатстване не са изплатени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5F787F11" w14:textId="77777777" w:rsidR="0001164B" w:rsidRPr="003474BD" w:rsidRDefault="0001164B" w:rsidP="00A42091">
      <w:pPr>
        <w:suppressAutoHyphens/>
        <w:spacing w:before="120" w:after="120" w:line="312" w:lineRule="auto"/>
        <w:jc w:val="both"/>
        <w:rPr>
          <w:color w:val="000000" w:themeColor="text1"/>
        </w:rPr>
      </w:pPr>
    </w:p>
    <w:p w14:paraId="5F5E93C5" w14:textId="1F3C2EAA" w:rsidR="003F1496" w:rsidRPr="003474BD" w:rsidRDefault="00C61C68" w:rsidP="00A42091">
      <w:pPr>
        <w:suppressAutoHyphens/>
        <w:spacing w:before="120" w:after="120" w:line="312" w:lineRule="auto"/>
        <w:jc w:val="both"/>
        <w:rPr>
          <w:color w:val="000000" w:themeColor="text1"/>
        </w:rPr>
      </w:pPr>
      <w:r w:rsidRPr="003474BD">
        <w:rPr>
          <w:b/>
          <w:bCs/>
          <w:color w:val="000000" w:themeColor="text1"/>
        </w:rPr>
        <w:lastRenderedPageBreak/>
        <w:t>3</w:t>
      </w:r>
      <w:r w:rsidR="003F1496" w:rsidRPr="003474BD">
        <w:rPr>
          <w:b/>
          <w:bCs/>
          <w:color w:val="000000" w:themeColor="text1"/>
        </w:rPr>
        <w:t>)</w:t>
      </w:r>
      <w:r w:rsidR="003F1496" w:rsidRPr="003474BD">
        <w:rPr>
          <w:color w:val="000000" w:themeColor="text1"/>
        </w:rPr>
        <w:t xml:space="preserve"> </w:t>
      </w:r>
      <w:r w:rsidR="00487E8C" w:rsidRPr="00E57C4A">
        <w:rPr>
          <w:color w:val="000000" w:themeColor="text1"/>
        </w:rPr>
        <w:t>Недопустими са кандидати, които са предприятия в затруднено положение</w:t>
      </w:r>
      <w:r w:rsidR="00D939DD" w:rsidRPr="00E57C4A">
        <w:rPr>
          <w:rStyle w:val="FootnoteReference"/>
          <w:color w:val="000000" w:themeColor="text1"/>
        </w:rPr>
        <w:footnoteReference w:id="14"/>
      </w:r>
      <w:r w:rsidR="00487E8C" w:rsidRPr="00E57C4A">
        <w:rPr>
          <w:color w:val="000000" w:themeColor="text1"/>
        </w:rPr>
        <w:t xml:space="preserve"> по смисъла на Регламент (ЕС) № 651/2014. Изискванията за </w:t>
      </w:r>
      <w:r w:rsidR="00DC5756" w:rsidRPr="00E57C4A">
        <w:rPr>
          <w:color w:val="000000" w:themeColor="text1"/>
        </w:rPr>
        <w:t>"</w:t>
      </w:r>
      <w:r w:rsidR="00487E8C" w:rsidRPr="00E57C4A">
        <w:rPr>
          <w:color w:val="000000" w:themeColor="text1"/>
        </w:rPr>
        <w:t>Предприятие в затруднено положение</w:t>
      </w:r>
      <w:r w:rsidR="00DC5756" w:rsidRPr="00E57C4A">
        <w:rPr>
          <w:color w:val="000000" w:themeColor="text1"/>
        </w:rPr>
        <w:t>"</w:t>
      </w:r>
      <w:r w:rsidR="00487E8C" w:rsidRPr="00E57C4A">
        <w:rPr>
          <w:color w:val="000000" w:themeColor="text1"/>
        </w:rPr>
        <w:t xml:space="preserve"> се прилагат </w:t>
      </w:r>
      <w:r w:rsidR="007B2D11" w:rsidRPr="00E57C4A">
        <w:rPr>
          <w:color w:val="000000" w:themeColor="text1"/>
        </w:rPr>
        <w:t>индивидуално само за кандидата.</w:t>
      </w:r>
    </w:p>
    <w:p w14:paraId="4A57E32D" w14:textId="77777777" w:rsidR="003F1496" w:rsidRPr="003474BD" w:rsidRDefault="003F1496" w:rsidP="00A42091">
      <w:pPr>
        <w:suppressAutoHyphens/>
        <w:spacing w:before="120" w:after="120" w:line="312" w:lineRule="auto"/>
        <w:jc w:val="both"/>
        <w:rPr>
          <w:color w:val="000000" w:themeColor="text1"/>
        </w:rPr>
      </w:pPr>
    </w:p>
    <w:p w14:paraId="28B323CB" w14:textId="0196322E" w:rsidR="003F1496" w:rsidRPr="003474BD" w:rsidRDefault="00C61C68" w:rsidP="00A42091">
      <w:pPr>
        <w:suppressAutoHyphens/>
        <w:spacing w:before="120" w:after="120" w:line="312" w:lineRule="auto"/>
        <w:jc w:val="both"/>
        <w:rPr>
          <w:color w:val="000000" w:themeColor="text1"/>
        </w:rPr>
      </w:pPr>
      <w:r w:rsidRPr="003474BD">
        <w:rPr>
          <w:b/>
          <w:bCs/>
          <w:color w:val="000000" w:themeColor="text1"/>
        </w:rPr>
        <w:t>4</w:t>
      </w:r>
      <w:r w:rsidR="003F1496" w:rsidRPr="003474BD">
        <w:rPr>
          <w:b/>
          <w:bCs/>
          <w:color w:val="000000" w:themeColor="text1"/>
        </w:rPr>
        <w:t>)</w:t>
      </w:r>
      <w:r w:rsidR="003F1496" w:rsidRPr="003474BD">
        <w:rPr>
          <w:color w:val="000000" w:themeColor="text1"/>
        </w:rPr>
        <w:t xml:space="preserve"> Недопустими са кандидати, попадащи в обхвата на чл. 3, т.14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доколкото не попадат в изключенията на чл. 4 от същия закон.</w:t>
      </w:r>
    </w:p>
    <w:p w14:paraId="7B70F28B" w14:textId="75F971EC" w:rsidR="003F1496" w:rsidRPr="003474BD" w:rsidRDefault="003F1496" w:rsidP="00A42091">
      <w:pPr>
        <w:suppressAutoHyphens/>
        <w:spacing w:before="120" w:after="120" w:line="312" w:lineRule="auto"/>
        <w:jc w:val="both"/>
        <w:rPr>
          <w:color w:val="000000" w:themeColor="text1"/>
        </w:rPr>
      </w:pPr>
    </w:p>
    <w:p w14:paraId="65B5674C" w14:textId="7A0FB9A4" w:rsidR="007F1FDD" w:rsidRPr="003474BD" w:rsidRDefault="00C61C68" w:rsidP="007F1FDD">
      <w:pPr>
        <w:suppressAutoHyphens/>
        <w:spacing w:before="120" w:after="120" w:line="312" w:lineRule="auto"/>
        <w:jc w:val="both"/>
        <w:rPr>
          <w:color w:val="000000" w:themeColor="text1"/>
        </w:rPr>
      </w:pPr>
      <w:r w:rsidRPr="003474BD">
        <w:rPr>
          <w:b/>
          <w:bCs/>
          <w:color w:val="000000" w:themeColor="text1"/>
        </w:rPr>
        <w:t>5</w:t>
      </w:r>
      <w:r w:rsidR="00EA5BB8" w:rsidRPr="003474BD">
        <w:rPr>
          <w:b/>
          <w:bCs/>
          <w:color w:val="000000" w:themeColor="text1"/>
        </w:rPr>
        <w:t>)</w:t>
      </w:r>
      <w:r w:rsidR="00EA5BB8" w:rsidRPr="003474BD">
        <w:rPr>
          <w:color w:val="000000" w:themeColor="text1"/>
        </w:rPr>
        <w:t xml:space="preserve"> </w:t>
      </w:r>
      <w:bookmarkStart w:id="42" w:name="_Hlk146704290"/>
      <w:r w:rsidR="00EA5BB8" w:rsidRPr="003474BD">
        <w:rPr>
          <w:color w:val="000000" w:themeColor="text1"/>
        </w:rPr>
        <w:t xml:space="preserve">Недопустими са </w:t>
      </w:r>
      <w:r w:rsidR="007F1FDD" w:rsidRPr="003474BD">
        <w:rPr>
          <w:color w:val="000000" w:themeColor="text1"/>
        </w:rPr>
        <w:t xml:space="preserve">кандидати, които </w:t>
      </w:r>
      <w:r w:rsidR="00536706" w:rsidRPr="003474BD">
        <w:rPr>
          <w:color w:val="000000" w:themeColor="text1"/>
        </w:rPr>
        <w:t xml:space="preserve">са предприятия с наложени </w:t>
      </w:r>
      <w:r w:rsidR="007F1FDD" w:rsidRPr="003474BD">
        <w:rPr>
          <w:color w:val="000000" w:themeColor="text1"/>
        </w:rPr>
        <w:t xml:space="preserve">санкции, приети </w:t>
      </w:r>
      <w:r w:rsidR="00536706" w:rsidRPr="003474BD">
        <w:rPr>
          <w:color w:val="000000" w:themeColor="text1"/>
        </w:rPr>
        <w:t xml:space="preserve">Европейския </w:t>
      </w:r>
      <w:r w:rsidR="00EF00C0" w:rsidRPr="003474BD">
        <w:rPr>
          <w:color w:val="000000" w:themeColor="text1"/>
        </w:rPr>
        <w:t>с</w:t>
      </w:r>
      <w:r w:rsidR="007F1FDD" w:rsidRPr="003474BD">
        <w:rPr>
          <w:color w:val="000000" w:themeColor="text1"/>
        </w:rPr>
        <w:t>ъюз, включително, но не само</w:t>
      </w:r>
      <w:r w:rsidR="00364008" w:rsidRPr="003474BD">
        <w:rPr>
          <w:rStyle w:val="FootnoteReference"/>
          <w:color w:val="000000" w:themeColor="text1"/>
        </w:rPr>
        <w:footnoteReference w:id="15"/>
      </w:r>
      <w:r w:rsidR="007F1FDD" w:rsidRPr="003474BD">
        <w:rPr>
          <w:color w:val="000000" w:themeColor="text1"/>
        </w:rPr>
        <w:t>:</w:t>
      </w:r>
    </w:p>
    <w:p w14:paraId="7B48AC7E" w14:textId="77777777" w:rsidR="007F1FDD" w:rsidRPr="003474BD" w:rsidRDefault="007F1FDD" w:rsidP="00D10E18">
      <w:pPr>
        <w:suppressAutoHyphens/>
        <w:spacing w:before="120" w:after="120" w:line="312" w:lineRule="auto"/>
        <w:jc w:val="both"/>
        <w:rPr>
          <w:color w:val="000000" w:themeColor="text1"/>
        </w:rPr>
      </w:pPr>
      <w:r w:rsidRPr="003474BD">
        <w:rPr>
          <w:color w:val="000000" w:themeColor="text1"/>
        </w:rPr>
        <w:t>а) лица, образувания или органи, изрично посочени в правните актове за налагане на тези санкции;</w:t>
      </w:r>
    </w:p>
    <w:p w14:paraId="2E0E4E78" w14:textId="52F879DE" w:rsidR="007F1FDD" w:rsidRPr="003474BD" w:rsidRDefault="007F1FDD" w:rsidP="00D10E18">
      <w:pPr>
        <w:suppressAutoHyphens/>
        <w:spacing w:before="120" w:after="120" w:line="312" w:lineRule="auto"/>
        <w:jc w:val="both"/>
        <w:rPr>
          <w:color w:val="000000" w:themeColor="text1"/>
        </w:rPr>
      </w:pPr>
      <w:r w:rsidRPr="003474BD">
        <w:rPr>
          <w:color w:val="000000" w:themeColor="text1"/>
        </w:rPr>
        <w:t xml:space="preserve">б) предприятия, притежавани или контролирани от лица, образувания или органи, </w:t>
      </w:r>
      <w:r w:rsidR="00536706" w:rsidRPr="003474BD">
        <w:rPr>
          <w:color w:val="000000" w:themeColor="text1"/>
        </w:rPr>
        <w:t xml:space="preserve">срещу които са наложени </w:t>
      </w:r>
      <w:r w:rsidRPr="003474BD">
        <w:rPr>
          <w:color w:val="000000" w:themeColor="text1"/>
        </w:rPr>
        <w:t>санкции</w:t>
      </w:r>
      <w:r w:rsidR="00536706" w:rsidRPr="003474BD">
        <w:rPr>
          <w:color w:val="000000" w:themeColor="text1"/>
        </w:rPr>
        <w:t xml:space="preserve"> от страна на Европейския </w:t>
      </w:r>
      <w:r w:rsidR="00EF00C0" w:rsidRPr="003474BD">
        <w:rPr>
          <w:color w:val="000000" w:themeColor="text1"/>
        </w:rPr>
        <w:t>с</w:t>
      </w:r>
      <w:r w:rsidR="00536706" w:rsidRPr="003474BD">
        <w:rPr>
          <w:color w:val="000000" w:themeColor="text1"/>
        </w:rPr>
        <w:t xml:space="preserve">ъюз </w:t>
      </w:r>
      <w:r w:rsidRPr="003474BD">
        <w:rPr>
          <w:color w:val="000000" w:themeColor="text1"/>
        </w:rPr>
        <w:t>, приети от Съюза; или</w:t>
      </w:r>
    </w:p>
    <w:p w14:paraId="4052C4CA" w14:textId="2C8AFA1F" w:rsidR="007F1FDD" w:rsidRPr="003474BD" w:rsidRDefault="007F1FDD" w:rsidP="00D10E18">
      <w:pPr>
        <w:suppressAutoHyphens/>
        <w:spacing w:before="120" w:after="120" w:line="312" w:lineRule="auto"/>
        <w:jc w:val="both"/>
        <w:rPr>
          <w:color w:val="000000" w:themeColor="text1"/>
        </w:rPr>
      </w:pPr>
      <w:r w:rsidRPr="003474BD">
        <w:rPr>
          <w:color w:val="000000" w:themeColor="text1"/>
        </w:rPr>
        <w:t>в) предприятия</w:t>
      </w:r>
      <w:r w:rsidR="00EF00C0" w:rsidRPr="003474BD">
        <w:rPr>
          <w:color w:val="000000" w:themeColor="text1"/>
        </w:rPr>
        <w:t xml:space="preserve"> осъществяващи</w:t>
      </w:r>
      <w:r w:rsidRPr="003474BD">
        <w:rPr>
          <w:color w:val="000000" w:themeColor="text1"/>
        </w:rPr>
        <w:t xml:space="preserve"> дейност в отрасли, </w:t>
      </w:r>
      <w:r w:rsidR="00EF00C0" w:rsidRPr="003474BD">
        <w:rPr>
          <w:color w:val="000000" w:themeColor="text1"/>
        </w:rPr>
        <w:t>подложени на</w:t>
      </w:r>
      <w:r w:rsidRPr="003474BD">
        <w:rPr>
          <w:color w:val="000000" w:themeColor="text1"/>
        </w:rPr>
        <w:t xml:space="preserve"> санкции, приети от </w:t>
      </w:r>
      <w:r w:rsidR="00EF00C0" w:rsidRPr="003474BD">
        <w:rPr>
          <w:color w:val="000000" w:themeColor="text1"/>
        </w:rPr>
        <w:t>Европейския съюз</w:t>
      </w:r>
      <w:r w:rsidRPr="003474BD">
        <w:rPr>
          <w:color w:val="000000" w:themeColor="text1"/>
        </w:rPr>
        <w:t>, доколкото помощта би подкопала целите на съответните санкции.</w:t>
      </w:r>
    </w:p>
    <w:p w14:paraId="282216EF" w14:textId="77F5999D" w:rsidR="00D10E18" w:rsidRPr="003474BD" w:rsidRDefault="00D10E18" w:rsidP="00D10E18">
      <w:pPr>
        <w:suppressAutoHyphens/>
        <w:spacing w:before="120" w:after="120" w:line="312" w:lineRule="auto"/>
        <w:jc w:val="both"/>
        <w:rPr>
          <w:color w:val="000000" w:themeColor="text1"/>
        </w:rPr>
      </w:pPr>
    </w:p>
    <w:p w14:paraId="7D9459ED" w14:textId="4912D39E" w:rsidR="00EA5BB8" w:rsidRPr="003474BD" w:rsidRDefault="00D10E18" w:rsidP="00D10E18">
      <w:pPr>
        <w:suppressAutoHyphens/>
        <w:spacing w:before="120" w:after="120" w:line="312" w:lineRule="auto"/>
        <w:jc w:val="both"/>
        <w:rPr>
          <w:color w:val="000000" w:themeColor="text1"/>
        </w:rPr>
      </w:pPr>
      <w:r w:rsidRPr="003474BD">
        <w:rPr>
          <w:color w:val="000000" w:themeColor="text1"/>
        </w:rPr>
        <w:t xml:space="preserve">Повече информация за санкциите, наложени от Европейския съюз е налична на </w:t>
      </w:r>
      <w:hyperlink r:id="rId9" w:history="1">
        <w:r w:rsidRPr="003474BD">
          <w:rPr>
            <w:rStyle w:val="Hyperlink"/>
          </w:rPr>
          <w:t>https://finance.ec.europa.eu/eu-and-world/sanctions-restrictive-measures/sanctions-adopted-following-russias-military-aggression-against-ukraine_en?prefLang=bg</w:t>
        </w:r>
      </w:hyperlink>
      <w:r w:rsidRPr="003474BD">
        <w:rPr>
          <w:color w:val="000000" w:themeColor="text1"/>
        </w:rPr>
        <w:t xml:space="preserve">.  </w:t>
      </w:r>
      <w:bookmarkEnd w:id="42"/>
    </w:p>
    <w:p w14:paraId="4688E4E4" w14:textId="77777777" w:rsidR="00B77034" w:rsidRPr="003474BD" w:rsidRDefault="00B77034" w:rsidP="00B77034">
      <w:pPr>
        <w:suppressAutoHyphens/>
        <w:spacing w:before="120" w:after="120" w:line="312" w:lineRule="auto"/>
        <w:jc w:val="both"/>
        <w:rPr>
          <w:color w:val="000000" w:themeColor="text1"/>
        </w:rPr>
      </w:pPr>
    </w:p>
    <w:p w14:paraId="0CC1C74A" w14:textId="7127B5D2" w:rsidR="00B77034" w:rsidRPr="003474BD" w:rsidRDefault="00B77034" w:rsidP="00B77034">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b/>
          <w:color w:val="000000" w:themeColor="text1"/>
        </w:rPr>
        <w:t>ВАЖНО</w:t>
      </w:r>
      <w:r w:rsidRPr="003474BD">
        <w:rPr>
          <w:color w:val="000000" w:themeColor="text1"/>
        </w:rPr>
        <w:t xml:space="preserve">: По отношение на съответствието с посочените в т. 1) до т. </w:t>
      </w:r>
      <w:r w:rsidR="00C61C68" w:rsidRPr="003474BD">
        <w:rPr>
          <w:color w:val="000000" w:themeColor="text1"/>
        </w:rPr>
        <w:t>5</w:t>
      </w:r>
      <w:r w:rsidRPr="003474BD">
        <w:rPr>
          <w:color w:val="000000" w:themeColor="text1"/>
        </w:rPr>
        <w:t xml:space="preserve">) обстоятелства, при кандидатстване се декларира от кандидатите в </w:t>
      </w:r>
      <w:bookmarkStart w:id="43" w:name="_Hlk169708200"/>
      <w:r w:rsidRPr="003474BD">
        <w:rPr>
          <w:color w:val="000000" w:themeColor="text1"/>
        </w:rPr>
        <w:t>Декларация при кандидатстване</w:t>
      </w:r>
      <w:r w:rsidR="00DD7262">
        <w:rPr>
          <w:color w:val="000000" w:themeColor="text1"/>
        </w:rPr>
        <w:t xml:space="preserve"> и за приемане на условията на процедурата</w:t>
      </w:r>
      <w:bookmarkEnd w:id="43"/>
      <w:r w:rsidRPr="003474BD">
        <w:rPr>
          <w:color w:val="000000" w:themeColor="text1"/>
        </w:rPr>
        <w:t xml:space="preserve"> (Приложение </w:t>
      </w:r>
      <w:r w:rsidR="002957CC">
        <w:rPr>
          <w:color w:val="000000" w:themeColor="text1"/>
        </w:rPr>
        <w:t>5</w:t>
      </w:r>
      <w:r w:rsidR="002957CC" w:rsidRPr="003474BD">
        <w:rPr>
          <w:color w:val="000000" w:themeColor="text1"/>
        </w:rPr>
        <w:t>)</w:t>
      </w:r>
      <w:r w:rsidR="002957CC">
        <w:rPr>
          <w:color w:val="000000" w:themeColor="text1"/>
        </w:rPr>
        <w:t xml:space="preserve"> и Декларация за държавни помощи (Приложение 2)</w:t>
      </w:r>
      <w:r w:rsidR="002957CC" w:rsidRPr="003474BD">
        <w:rPr>
          <w:color w:val="000000" w:themeColor="text1"/>
        </w:rPr>
        <w:t xml:space="preserve">, </w:t>
      </w:r>
      <w:r w:rsidRPr="003474BD">
        <w:rPr>
          <w:color w:val="000000" w:themeColor="text1"/>
        </w:rPr>
        <w:t>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14:paraId="32EFCE35" w14:textId="010707CD" w:rsidR="00EA5BB8" w:rsidRPr="003474BD" w:rsidRDefault="00EA5BB8" w:rsidP="00A42091">
      <w:pPr>
        <w:suppressAutoHyphens/>
        <w:spacing w:before="120" w:after="120" w:line="312" w:lineRule="auto"/>
        <w:jc w:val="both"/>
        <w:rPr>
          <w:color w:val="000000" w:themeColor="text1"/>
        </w:rPr>
      </w:pPr>
    </w:p>
    <w:p w14:paraId="3715A97F" w14:textId="62D6FBA9" w:rsidR="003F1496" w:rsidRPr="003474BD" w:rsidRDefault="003F1496" w:rsidP="00A42091">
      <w:pPr>
        <w:suppressAutoHyphens/>
        <w:spacing w:before="120" w:after="120" w:line="312" w:lineRule="auto"/>
        <w:jc w:val="both"/>
        <w:rPr>
          <w:color w:val="000000" w:themeColor="text1"/>
        </w:rPr>
      </w:pPr>
      <w:r w:rsidRPr="003474BD">
        <w:rPr>
          <w:color w:val="000000" w:themeColor="text1"/>
        </w:rPr>
        <w:lastRenderedPageBreak/>
        <w:t>Допълнително, кандидатите следва да имат предвид, че критериите за недопустимост</w:t>
      </w:r>
      <w:r w:rsidR="00A94D17" w:rsidRPr="003474BD">
        <w:rPr>
          <w:color w:val="000000" w:themeColor="text1"/>
        </w:rPr>
        <w:t xml:space="preserve"> по т. 11.2</w:t>
      </w:r>
      <w:r w:rsidRPr="003474BD">
        <w:rPr>
          <w:color w:val="000000" w:themeColor="text1"/>
        </w:rPr>
        <w:t xml:space="preserve"> се прилагат кумулативно с критериите за допустимост по т. 11.</w:t>
      </w:r>
      <w:r w:rsidR="001A3013" w:rsidRPr="003474BD">
        <w:rPr>
          <w:color w:val="000000" w:themeColor="text1"/>
        </w:rPr>
        <w:t>1</w:t>
      </w:r>
      <w:r w:rsidRPr="003474BD">
        <w:rPr>
          <w:color w:val="000000" w:themeColor="text1"/>
        </w:rPr>
        <w:t xml:space="preserve"> от настоящата процедура.</w:t>
      </w:r>
    </w:p>
    <w:p w14:paraId="4B14536C" w14:textId="77777777" w:rsidR="00D95097" w:rsidRPr="003474BD" w:rsidRDefault="00D95097" w:rsidP="00A42091">
      <w:pPr>
        <w:suppressAutoHyphens/>
      </w:pPr>
    </w:p>
    <w:p w14:paraId="02675F5D" w14:textId="77777777" w:rsidR="003F1496" w:rsidRPr="003474BD" w:rsidRDefault="003F1496" w:rsidP="00A42091">
      <w:pPr>
        <w:pStyle w:val="Heading2"/>
        <w:suppressAutoHyphens/>
        <w:spacing w:after="120" w:line="312" w:lineRule="auto"/>
        <w:rPr>
          <w:rFonts w:ascii="Times New Roman" w:hAnsi="Times New Roman"/>
          <w:sz w:val="24"/>
          <w:szCs w:val="24"/>
        </w:rPr>
      </w:pPr>
      <w:bookmarkStart w:id="44" w:name="_Toc106285930"/>
      <w:bookmarkStart w:id="45" w:name="_Toc166258045"/>
      <w:r w:rsidRPr="003474BD">
        <w:rPr>
          <w:rFonts w:ascii="Times New Roman" w:hAnsi="Times New Roman"/>
          <w:sz w:val="24"/>
          <w:szCs w:val="24"/>
        </w:rPr>
        <w:t>12. Допустими партньори:</w:t>
      </w:r>
      <w:bookmarkEnd w:id="44"/>
      <w:bookmarkEnd w:id="45"/>
    </w:p>
    <w:p w14:paraId="52C223B6" w14:textId="5005B6D3"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По настоящата процедура чрез подбор на предложения за изпълнение на инвестиции от крайни получатели</w:t>
      </w:r>
      <w:r w:rsidRPr="003474BD" w:rsidDel="00E1501F">
        <w:rPr>
          <w:color w:val="000000" w:themeColor="text1"/>
        </w:rPr>
        <w:t xml:space="preserve"> </w:t>
      </w:r>
      <w:r w:rsidRPr="003474BD">
        <w:rPr>
          <w:color w:val="000000" w:themeColor="text1"/>
        </w:rPr>
        <w:t>кандидатите участват индивидуално, а не съвместно с партньорски или други организации.</w:t>
      </w:r>
      <w:r w:rsidR="00290188" w:rsidRPr="003474BD">
        <w:rPr>
          <w:color w:val="000000" w:themeColor="text1"/>
        </w:rPr>
        <w:t xml:space="preserve"> </w:t>
      </w:r>
    </w:p>
    <w:p w14:paraId="15F18252" w14:textId="6C815C4E" w:rsidR="00C30741" w:rsidRPr="003474BD" w:rsidRDefault="00C30741"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b/>
          <w:color w:val="000000" w:themeColor="text1"/>
        </w:rPr>
        <w:t>ВАЖНО</w:t>
      </w:r>
      <w:r w:rsidRPr="003474BD">
        <w:rPr>
          <w:color w:val="000000" w:themeColor="text1"/>
        </w:rPr>
        <w:t xml:space="preserve">: </w:t>
      </w:r>
      <w:r w:rsidRPr="003474BD">
        <w:t xml:space="preserve">Инвестицията трябва да се изпълни от един инвеститор (юридическо лице) и този </w:t>
      </w:r>
      <w:r w:rsidRPr="003474BD">
        <w:rPr>
          <w:color w:val="000000" w:themeColor="text1"/>
        </w:rPr>
        <w:t xml:space="preserve">кандидат трябва да бъде титуляр на всички права, разрешителни и активи, необходими за </w:t>
      </w:r>
      <w:r w:rsidR="004A256A" w:rsidRPr="003474BD">
        <w:rPr>
          <w:color w:val="000000" w:themeColor="text1"/>
        </w:rPr>
        <w:t xml:space="preserve">изграждането и въвеждането в експлоатация на </w:t>
      </w:r>
      <w:r w:rsidR="00E03F31" w:rsidRPr="003474BD">
        <w:rPr>
          <w:color w:val="000000" w:themeColor="text1"/>
        </w:rPr>
        <w:t>съоръжението</w:t>
      </w:r>
      <w:r w:rsidR="004A256A" w:rsidRPr="003474BD">
        <w:rPr>
          <w:color w:val="000000" w:themeColor="text1"/>
        </w:rPr>
        <w:t xml:space="preserve"> за съхранение на </w:t>
      </w:r>
      <w:r w:rsidR="00C807BE" w:rsidRPr="003474BD">
        <w:rPr>
          <w:color w:val="000000" w:themeColor="text1"/>
        </w:rPr>
        <w:t>електрическа енергия</w:t>
      </w:r>
      <w:r w:rsidRPr="003474BD">
        <w:rPr>
          <w:color w:val="000000" w:themeColor="text1"/>
        </w:rPr>
        <w:t>.</w:t>
      </w:r>
    </w:p>
    <w:p w14:paraId="43AE6F52" w14:textId="77777777" w:rsidR="00C30741" w:rsidRPr="003474BD" w:rsidRDefault="00C30741" w:rsidP="00A42091">
      <w:pPr>
        <w:suppressAutoHyphens/>
        <w:spacing w:before="120" w:after="120" w:line="312" w:lineRule="auto"/>
        <w:jc w:val="both"/>
        <w:rPr>
          <w:color w:val="000000" w:themeColor="text1"/>
        </w:rPr>
      </w:pPr>
    </w:p>
    <w:p w14:paraId="2D81B333" w14:textId="16A238FE" w:rsidR="00D95097" w:rsidRPr="003474BD" w:rsidRDefault="00D95097" w:rsidP="00A42091">
      <w:pPr>
        <w:pStyle w:val="Heading2"/>
        <w:suppressAutoHyphens/>
        <w:spacing w:after="120" w:line="312" w:lineRule="auto"/>
        <w:rPr>
          <w:rFonts w:ascii="Times New Roman" w:hAnsi="Times New Roman"/>
          <w:sz w:val="24"/>
          <w:szCs w:val="24"/>
        </w:rPr>
      </w:pPr>
      <w:bookmarkStart w:id="46" w:name="_Toc166258046"/>
      <w:bookmarkStart w:id="47" w:name="_Toc106285932"/>
      <w:r w:rsidRPr="003474BD">
        <w:rPr>
          <w:rFonts w:ascii="Times New Roman" w:hAnsi="Times New Roman"/>
          <w:sz w:val="24"/>
          <w:szCs w:val="24"/>
        </w:rPr>
        <w:t>1</w:t>
      </w:r>
      <w:r w:rsidR="007A3227" w:rsidRPr="003474BD">
        <w:rPr>
          <w:rFonts w:ascii="Times New Roman" w:hAnsi="Times New Roman"/>
          <w:sz w:val="24"/>
          <w:szCs w:val="24"/>
        </w:rPr>
        <w:t>3</w:t>
      </w:r>
      <w:r w:rsidRPr="003474BD">
        <w:rPr>
          <w:rFonts w:ascii="Times New Roman" w:hAnsi="Times New Roman"/>
          <w:sz w:val="24"/>
          <w:szCs w:val="24"/>
        </w:rPr>
        <w:t>. Дейности, допустими за финансиране:</w:t>
      </w:r>
      <w:bookmarkEnd w:id="46"/>
    </w:p>
    <w:p w14:paraId="58701DDA" w14:textId="77777777" w:rsidR="00D95097" w:rsidRPr="003474BD" w:rsidRDefault="00D95097" w:rsidP="00A42091">
      <w:pPr>
        <w:suppressAutoHyphens/>
        <w:spacing w:before="120" w:after="120" w:line="312" w:lineRule="auto"/>
        <w:jc w:val="both"/>
      </w:pPr>
    </w:p>
    <w:p w14:paraId="5D34A206" w14:textId="58396FCA" w:rsidR="003F1496" w:rsidRPr="003474BD" w:rsidRDefault="003F1496" w:rsidP="00A42091">
      <w:pPr>
        <w:pStyle w:val="Heading3"/>
        <w:suppressAutoHyphens/>
        <w:spacing w:before="120" w:after="120" w:line="312" w:lineRule="auto"/>
        <w:rPr>
          <w:rFonts w:ascii="Times New Roman" w:hAnsi="Times New Roman"/>
          <w:sz w:val="24"/>
          <w:szCs w:val="24"/>
        </w:rPr>
      </w:pPr>
      <w:bookmarkStart w:id="48" w:name="_Toc166258047"/>
      <w:r w:rsidRPr="003474BD">
        <w:rPr>
          <w:rFonts w:ascii="Times New Roman" w:hAnsi="Times New Roman"/>
          <w:sz w:val="24"/>
          <w:szCs w:val="24"/>
        </w:rPr>
        <w:t>1</w:t>
      </w:r>
      <w:r w:rsidR="007A3227" w:rsidRPr="003474BD">
        <w:rPr>
          <w:rFonts w:ascii="Times New Roman" w:hAnsi="Times New Roman"/>
          <w:sz w:val="24"/>
          <w:szCs w:val="24"/>
        </w:rPr>
        <w:t>3</w:t>
      </w:r>
      <w:r w:rsidRPr="003474BD">
        <w:rPr>
          <w:rFonts w:ascii="Times New Roman" w:hAnsi="Times New Roman"/>
          <w:sz w:val="24"/>
          <w:szCs w:val="24"/>
        </w:rPr>
        <w:t>.1. Допустими дейности</w:t>
      </w:r>
      <w:bookmarkEnd w:id="47"/>
      <w:bookmarkEnd w:id="48"/>
    </w:p>
    <w:p w14:paraId="4738B43E" w14:textId="0D936D90" w:rsidR="003F1496" w:rsidRPr="003474BD" w:rsidRDefault="00887E85" w:rsidP="00A42091">
      <w:pPr>
        <w:suppressAutoHyphens/>
        <w:spacing w:before="120" w:after="120" w:line="312" w:lineRule="auto"/>
        <w:jc w:val="both"/>
        <w:rPr>
          <w:color w:val="000000" w:themeColor="text1"/>
        </w:rPr>
      </w:pPr>
      <w:r w:rsidRPr="00B83FC5">
        <w:rPr>
          <w:color w:val="000000" w:themeColor="text1"/>
        </w:rPr>
        <w:t>Дейностите по п</w:t>
      </w:r>
      <w:r w:rsidR="003F1496" w:rsidRPr="00B83FC5">
        <w:rPr>
          <w:color w:val="000000" w:themeColor="text1"/>
        </w:rPr>
        <w:t>редложенията</w:t>
      </w:r>
      <w:r w:rsidR="003F1496" w:rsidRPr="003474BD">
        <w:rPr>
          <w:color w:val="000000" w:themeColor="text1"/>
        </w:rPr>
        <w:t xml:space="preserve"> за изпълнение на инвестиция по настоящата процедура следва да съответстват на принципа на ефективност и ефикасност като допустимите дейности следва да водят до постигане на целта на настоящата процедура при най-адекватното съотношение между очакваните разходи и ползи.</w:t>
      </w:r>
    </w:p>
    <w:p w14:paraId="65679639" w14:textId="3EE23C13" w:rsidR="003F1496" w:rsidRPr="003474BD" w:rsidRDefault="003F1496" w:rsidP="00A42091">
      <w:pPr>
        <w:suppressAutoHyphens/>
        <w:spacing w:before="120" w:after="120" w:line="312" w:lineRule="auto"/>
        <w:jc w:val="both"/>
        <w:rPr>
          <w:b/>
          <w:color w:val="000000" w:themeColor="text1"/>
        </w:rPr>
      </w:pPr>
      <w:r w:rsidRPr="003474BD">
        <w:rPr>
          <w:b/>
          <w:color w:val="000000" w:themeColor="text1"/>
        </w:rPr>
        <w:t xml:space="preserve">I. </w:t>
      </w:r>
      <w:r w:rsidR="00887E85" w:rsidRPr="00B83FC5">
        <w:rPr>
          <w:b/>
          <w:color w:val="000000" w:themeColor="text1"/>
        </w:rPr>
        <w:t>Дейностите по д</w:t>
      </w:r>
      <w:r w:rsidRPr="00B83FC5">
        <w:rPr>
          <w:b/>
          <w:color w:val="000000" w:themeColor="text1"/>
        </w:rPr>
        <w:t>опустимите</w:t>
      </w:r>
      <w:r w:rsidRPr="003474BD">
        <w:rPr>
          <w:b/>
          <w:color w:val="000000" w:themeColor="text1"/>
        </w:rPr>
        <w:t xml:space="preserve"> предложения за изпълнение на инвестиции следва:</w:t>
      </w:r>
    </w:p>
    <w:p w14:paraId="51FAF188" w14:textId="77777777" w:rsidR="003F1496" w:rsidRPr="003474BD" w:rsidRDefault="003F1496" w:rsidP="00A42091">
      <w:pPr>
        <w:suppressAutoHyphens/>
        <w:spacing w:before="120" w:after="120" w:line="312" w:lineRule="auto"/>
        <w:jc w:val="both"/>
        <w:rPr>
          <w:color w:val="000000" w:themeColor="text1"/>
        </w:rPr>
      </w:pPr>
      <w:r w:rsidRPr="003474BD">
        <w:rPr>
          <w:b/>
          <w:color w:val="000000" w:themeColor="text1"/>
        </w:rPr>
        <w:t>1)</w:t>
      </w:r>
      <w:r w:rsidRPr="003474BD">
        <w:rPr>
          <w:color w:val="000000" w:themeColor="text1"/>
        </w:rPr>
        <w:t xml:space="preserve"> Да водят до постигане целта на процедурата.</w:t>
      </w:r>
    </w:p>
    <w:p w14:paraId="2310CCAB" w14:textId="22B129B4" w:rsidR="003F1496" w:rsidRPr="003474BD" w:rsidRDefault="003F1496" w:rsidP="00A42091">
      <w:pPr>
        <w:suppressAutoHyphens/>
        <w:spacing w:before="120" w:after="120" w:line="312" w:lineRule="auto"/>
        <w:jc w:val="both"/>
        <w:rPr>
          <w:color w:val="000000" w:themeColor="text1"/>
        </w:rPr>
      </w:pPr>
      <w:r w:rsidRPr="003474BD">
        <w:rPr>
          <w:b/>
          <w:color w:val="000000" w:themeColor="text1"/>
        </w:rPr>
        <w:t>2)</w:t>
      </w:r>
      <w:r w:rsidRPr="003474BD">
        <w:rPr>
          <w:color w:val="000000" w:themeColor="text1"/>
        </w:rPr>
        <w:t xml:space="preserve"> Да са в съответствие с принципа за </w:t>
      </w:r>
      <w:r w:rsidR="00DC5756" w:rsidRPr="003474BD">
        <w:rPr>
          <w:color w:val="000000" w:themeColor="text1"/>
        </w:rPr>
        <w:t>"</w:t>
      </w:r>
      <w:r w:rsidRPr="003474BD">
        <w:rPr>
          <w:color w:val="000000" w:themeColor="text1"/>
        </w:rPr>
        <w:t>ненанасяне на значителни вреди</w:t>
      </w:r>
      <w:r w:rsidR="00DC5756" w:rsidRPr="003474BD">
        <w:rPr>
          <w:color w:val="000000" w:themeColor="text1"/>
        </w:rPr>
        <w:t>"</w:t>
      </w:r>
      <w:r w:rsidRPr="003474BD">
        <w:rPr>
          <w:rStyle w:val="FootnoteReference"/>
          <w:color w:val="000000" w:themeColor="text1"/>
        </w:rPr>
        <w:footnoteReference w:id="16"/>
      </w:r>
      <w:r w:rsidR="0053308F" w:rsidRPr="003474BD">
        <w:rPr>
          <w:color w:val="000000" w:themeColor="text1"/>
        </w:rPr>
        <w:t xml:space="preserve"> и равнопоставеност на мъже и жени</w:t>
      </w:r>
      <w:r w:rsidRPr="003474BD">
        <w:rPr>
          <w:color w:val="000000" w:themeColor="text1"/>
        </w:rPr>
        <w:t>.</w:t>
      </w:r>
    </w:p>
    <w:p w14:paraId="568882ED" w14:textId="77777777" w:rsidR="003F1496" w:rsidRPr="003474BD" w:rsidRDefault="003F1496" w:rsidP="00A42091">
      <w:pPr>
        <w:suppressAutoHyphens/>
        <w:spacing w:before="120" w:after="120" w:line="312" w:lineRule="auto"/>
        <w:jc w:val="both"/>
        <w:rPr>
          <w:color w:val="000000" w:themeColor="text1"/>
        </w:rPr>
      </w:pPr>
      <w:r w:rsidRPr="003474BD">
        <w:rPr>
          <w:b/>
          <w:color w:val="000000" w:themeColor="text1"/>
        </w:rPr>
        <w:t>3)</w:t>
      </w:r>
      <w:r w:rsidRPr="003474BD">
        <w:rPr>
          <w:color w:val="000000" w:themeColor="text1"/>
        </w:rPr>
        <w:t xml:space="preserve"> Да се изпълняват само на територията на Република България.</w:t>
      </w:r>
    </w:p>
    <w:p w14:paraId="2413B317" w14:textId="7EB99E12" w:rsidR="00D2707D" w:rsidRPr="003474BD" w:rsidRDefault="00D2707D" w:rsidP="00A42091">
      <w:pPr>
        <w:suppressAutoHyphens/>
        <w:spacing w:before="120" w:after="120" w:line="312" w:lineRule="auto"/>
        <w:jc w:val="both"/>
        <w:rPr>
          <w:color w:val="000000" w:themeColor="text1"/>
        </w:rPr>
      </w:pPr>
      <w:r w:rsidRPr="003474BD">
        <w:rPr>
          <w:b/>
          <w:bCs/>
          <w:color w:val="000000" w:themeColor="text1"/>
        </w:rPr>
        <w:t>4)</w:t>
      </w:r>
      <w:r w:rsidRPr="003474BD">
        <w:rPr>
          <w:color w:val="000000" w:themeColor="text1"/>
        </w:rPr>
        <w:t xml:space="preserve"> </w:t>
      </w:r>
      <w:r w:rsidR="00A72ADC" w:rsidRPr="003474BD">
        <w:rPr>
          <w:color w:val="000000" w:themeColor="text1"/>
        </w:rPr>
        <w:t>Д</w:t>
      </w:r>
      <w:r w:rsidRPr="003474BD">
        <w:rPr>
          <w:color w:val="000000" w:themeColor="text1"/>
        </w:rPr>
        <w:t xml:space="preserve">а са </w:t>
      </w:r>
      <w:r w:rsidR="00A0037C" w:rsidRPr="003474BD">
        <w:rPr>
          <w:color w:val="000000" w:themeColor="text1"/>
        </w:rPr>
        <w:t>за изграждане</w:t>
      </w:r>
      <w:r w:rsidR="00A512A2" w:rsidRPr="003474BD">
        <w:rPr>
          <w:color w:val="000000" w:themeColor="text1"/>
        </w:rPr>
        <w:t xml:space="preserve"> и въвеждане в експлоатация на </w:t>
      </w:r>
      <w:r w:rsidR="00DC5756" w:rsidRPr="003474BD">
        <w:rPr>
          <w:color w:val="000000" w:themeColor="text1"/>
        </w:rPr>
        <w:t>"</w:t>
      </w:r>
      <w:r w:rsidR="00A0037C" w:rsidRPr="003474BD">
        <w:rPr>
          <w:color w:val="000000" w:themeColor="text1"/>
        </w:rPr>
        <w:t xml:space="preserve">нов </w:t>
      </w:r>
      <w:r w:rsidR="00A512A2" w:rsidRPr="003474BD">
        <w:rPr>
          <w:color w:val="000000" w:themeColor="text1"/>
        </w:rPr>
        <w:t>използваем енергиен капацитет за съхранение на електроенергия</w:t>
      </w:r>
      <w:r w:rsidR="00DC5756" w:rsidRPr="003474BD">
        <w:rPr>
          <w:color w:val="000000" w:themeColor="text1"/>
        </w:rPr>
        <w:t>"</w:t>
      </w:r>
      <w:r w:rsidR="00090978" w:rsidRPr="003474BD">
        <w:rPr>
          <w:color w:val="000000" w:themeColor="text1"/>
        </w:rPr>
        <w:t>.</w:t>
      </w:r>
    </w:p>
    <w:p w14:paraId="48771E1E" w14:textId="27770592" w:rsidR="00DC5756" w:rsidRPr="003474BD" w:rsidRDefault="00967FB9" w:rsidP="00DC5756">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bookmarkStart w:id="49" w:name="_Hlk169094452"/>
      <w:r w:rsidRPr="003474BD">
        <w:rPr>
          <w:b/>
          <w:color w:val="000000" w:themeColor="text1"/>
        </w:rPr>
        <w:lastRenderedPageBreak/>
        <w:t>ВАЖНО:</w:t>
      </w:r>
      <w:r w:rsidRPr="003474BD">
        <w:rPr>
          <w:color w:val="000000" w:themeColor="text1"/>
        </w:rPr>
        <w:t xml:space="preserve"> </w:t>
      </w:r>
      <w:bookmarkStart w:id="50" w:name="_Hlk169599546"/>
      <w:r w:rsidRPr="003474BD">
        <w:rPr>
          <w:color w:val="000000" w:themeColor="text1"/>
        </w:rPr>
        <w:t xml:space="preserve">За да отговаря на изискването за </w:t>
      </w:r>
      <w:r w:rsidR="00DC5756" w:rsidRPr="003474BD">
        <w:rPr>
          <w:color w:val="000000" w:themeColor="text1"/>
        </w:rPr>
        <w:t>"</w:t>
      </w:r>
      <w:r w:rsidR="00A512A2" w:rsidRPr="003474BD">
        <w:rPr>
          <w:color w:val="000000" w:themeColor="text1"/>
        </w:rPr>
        <w:t>нов използваем енергиен капацитет за съхранение на електроенергия</w:t>
      </w:r>
      <w:r w:rsidR="00DC5756" w:rsidRPr="003474BD">
        <w:rPr>
          <w:color w:val="000000" w:themeColor="text1"/>
        </w:rPr>
        <w:t>"</w:t>
      </w:r>
      <w:r w:rsidRPr="003474BD">
        <w:rPr>
          <w:color w:val="000000" w:themeColor="text1"/>
        </w:rPr>
        <w:t xml:space="preserve">, </w:t>
      </w:r>
      <w:r w:rsidR="00DC5756" w:rsidRPr="003474BD">
        <w:rPr>
          <w:color w:val="000000" w:themeColor="text1"/>
        </w:rPr>
        <w:t>работите</w:t>
      </w:r>
      <w:r w:rsidR="00A133DD" w:rsidRPr="003474BD">
        <w:rPr>
          <w:color w:val="000000" w:themeColor="text1"/>
        </w:rPr>
        <w:t xml:space="preserve"> </w:t>
      </w:r>
      <w:r w:rsidR="00515CD3" w:rsidRPr="003474BD">
        <w:rPr>
          <w:color w:val="000000" w:themeColor="text1"/>
        </w:rPr>
        <w:t>във връзка със</w:t>
      </w:r>
      <w:r w:rsidR="00A133DD" w:rsidRPr="003474BD">
        <w:rPr>
          <w:color w:val="000000" w:themeColor="text1"/>
        </w:rPr>
        <w:t xml:space="preserve"> </w:t>
      </w:r>
      <w:r w:rsidR="00231F22" w:rsidRPr="003474BD">
        <w:rPr>
          <w:color w:val="000000" w:themeColor="text1"/>
        </w:rPr>
        <w:t>с</w:t>
      </w:r>
      <w:r w:rsidR="00A0548B" w:rsidRPr="003474BD">
        <w:rPr>
          <w:color w:val="000000" w:themeColor="text1"/>
        </w:rPr>
        <w:t>ъоръжението</w:t>
      </w:r>
      <w:r w:rsidR="00231F22" w:rsidRPr="003474BD">
        <w:rPr>
          <w:color w:val="000000" w:themeColor="text1"/>
        </w:rPr>
        <w:t xml:space="preserve"> за съхранение на </w:t>
      </w:r>
      <w:r w:rsidR="00C807BE" w:rsidRPr="003474BD">
        <w:rPr>
          <w:color w:val="000000" w:themeColor="text1"/>
        </w:rPr>
        <w:t xml:space="preserve">електрическа енергия </w:t>
      </w:r>
      <w:r w:rsidR="00A133DD" w:rsidRPr="003474BD">
        <w:rPr>
          <w:color w:val="000000" w:themeColor="text1"/>
        </w:rPr>
        <w:t xml:space="preserve"> (</w:t>
      </w:r>
      <w:r w:rsidR="00FB03E1" w:rsidRPr="003474BD">
        <w:rPr>
          <w:color w:val="000000" w:themeColor="text1"/>
        </w:rPr>
        <w:t>а</w:t>
      </w:r>
      <w:r w:rsidR="00A133DD" w:rsidRPr="003474BD">
        <w:rPr>
          <w:color w:val="000000" w:themeColor="text1"/>
        </w:rPr>
        <w:t>) </w:t>
      </w:r>
      <w:r w:rsidR="00355EFA" w:rsidRPr="003474BD">
        <w:rPr>
          <w:color w:val="000000" w:themeColor="text1"/>
        </w:rPr>
        <w:t xml:space="preserve">не </w:t>
      </w:r>
      <w:r w:rsidR="00355EFA" w:rsidRPr="00D216C1">
        <w:rPr>
          <w:color w:val="000000" w:themeColor="text1"/>
        </w:rPr>
        <w:t xml:space="preserve">трябва </w:t>
      </w:r>
      <w:r w:rsidR="00090978" w:rsidRPr="00D216C1">
        <w:rPr>
          <w:color w:val="000000" w:themeColor="text1"/>
        </w:rPr>
        <w:t xml:space="preserve">да </w:t>
      </w:r>
      <w:r w:rsidR="00A133DD" w:rsidRPr="00D216C1">
        <w:rPr>
          <w:color w:val="000000" w:themeColor="text1"/>
        </w:rPr>
        <w:t>са</w:t>
      </w:r>
      <w:r w:rsidR="00090978" w:rsidRPr="00D216C1">
        <w:rPr>
          <w:color w:val="000000" w:themeColor="text1"/>
        </w:rPr>
        <w:t xml:space="preserve"> започнал</w:t>
      </w:r>
      <w:r w:rsidR="00A133DD" w:rsidRPr="00D216C1">
        <w:rPr>
          <w:color w:val="000000" w:themeColor="text1"/>
        </w:rPr>
        <w:t xml:space="preserve">и </w:t>
      </w:r>
      <w:r w:rsidR="00231F22" w:rsidRPr="00D216C1">
        <w:rPr>
          <w:color w:val="000000" w:themeColor="text1"/>
        </w:rPr>
        <w:t xml:space="preserve">към датата на подаване на предложението за изпълнение на инвестиция </w:t>
      </w:r>
      <w:r w:rsidR="00A133DD" w:rsidRPr="005509D0">
        <w:rPr>
          <w:color w:val="000000" w:themeColor="text1"/>
        </w:rPr>
        <w:t xml:space="preserve">или (б) може да са започнали </w:t>
      </w:r>
      <w:r w:rsidR="00FB03E1" w:rsidRPr="005509D0">
        <w:rPr>
          <w:color w:val="000000" w:themeColor="text1"/>
        </w:rPr>
        <w:t xml:space="preserve">на или </w:t>
      </w:r>
      <w:r w:rsidR="00D10E18" w:rsidRPr="005509D0">
        <w:rPr>
          <w:color w:val="000000" w:themeColor="text1"/>
        </w:rPr>
        <w:t>след</w:t>
      </w:r>
      <w:r w:rsidR="00A133DD" w:rsidRPr="005509D0">
        <w:rPr>
          <w:color w:val="000000" w:themeColor="text1"/>
        </w:rPr>
        <w:t xml:space="preserve"> 9 март 2023</w:t>
      </w:r>
      <w:r w:rsidR="00231F22" w:rsidRPr="005509D0">
        <w:rPr>
          <w:color w:val="000000" w:themeColor="text1"/>
        </w:rPr>
        <w:t>, но с</w:t>
      </w:r>
      <w:r w:rsidR="00A0548B" w:rsidRPr="005509D0">
        <w:rPr>
          <w:color w:val="000000" w:themeColor="text1"/>
        </w:rPr>
        <w:t>ъоръжението</w:t>
      </w:r>
      <w:r w:rsidR="00231F22" w:rsidRPr="005509D0">
        <w:rPr>
          <w:color w:val="000000" w:themeColor="text1"/>
        </w:rPr>
        <w:t xml:space="preserve"> за съхранение на </w:t>
      </w:r>
      <w:r w:rsidR="00C807BE" w:rsidRPr="005509D0">
        <w:rPr>
          <w:color w:val="000000" w:themeColor="text1"/>
        </w:rPr>
        <w:t xml:space="preserve">електрическа енергия </w:t>
      </w:r>
      <w:r w:rsidR="00231F22" w:rsidRPr="005509D0">
        <w:rPr>
          <w:color w:val="000000" w:themeColor="text1"/>
        </w:rPr>
        <w:t>не трябва да</w:t>
      </w:r>
      <w:r w:rsidR="00FB03E1" w:rsidRPr="005509D0">
        <w:rPr>
          <w:color w:val="000000" w:themeColor="text1"/>
        </w:rPr>
        <w:t xml:space="preserve"> е </w:t>
      </w:r>
      <w:r w:rsidR="00887E85" w:rsidRPr="00AF571A">
        <w:rPr>
          <w:color w:val="000000" w:themeColor="text1"/>
        </w:rPr>
        <w:t>въведено в експлоатация</w:t>
      </w:r>
      <w:r w:rsidR="00887E85" w:rsidRPr="005509D0">
        <w:rPr>
          <w:color w:val="000000" w:themeColor="text1"/>
        </w:rPr>
        <w:t xml:space="preserve"> </w:t>
      </w:r>
      <w:r w:rsidR="00231F22" w:rsidRPr="005509D0">
        <w:rPr>
          <w:color w:val="000000" w:themeColor="text1"/>
        </w:rPr>
        <w:t>към датата на подаване на предложението за изпълнение на инвестиция</w:t>
      </w:r>
      <w:r w:rsidR="00E35986" w:rsidRPr="00D216C1">
        <w:rPr>
          <w:color w:val="000000" w:themeColor="text1"/>
        </w:rPr>
        <w:t>.</w:t>
      </w:r>
      <w:r w:rsidR="00DC5756" w:rsidRPr="00D216C1">
        <w:rPr>
          <w:color w:val="000000" w:themeColor="text1"/>
        </w:rPr>
        <w:t xml:space="preserve"> "Започване</w:t>
      </w:r>
      <w:r w:rsidR="00DC5756" w:rsidRPr="003474BD">
        <w:rPr>
          <w:color w:val="000000" w:themeColor="text1"/>
        </w:rPr>
        <w:t xml:space="preserve"> на работите" означава по-ранното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с който инвестицията става необратима. Закупуването на земя и подготвителните дейности, като получаването на разрешително и провеждането на предварителни проучвания за осъществимост, не се считат за започване на работите."</w:t>
      </w:r>
      <w:bookmarkEnd w:id="50"/>
    </w:p>
    <w:p w14:paraId="7788565D" w14:textId="7E1A5A2B" w:rsidR="00896B77" w:rsidRPr="003474BD" w:rsidRDefault="00B902CE"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color w:val="000000" w:themeColor="text1"/>
        </w:rPr>
        <w:t>По отношение на съответствието с посочените по-горе обстоятелства, при кандидатстване се декларира от кандидатите в деклараци</w:t>
      </w:r>
      <w:r w:rsidR="00584217" w:rsidRPr="003474BD">
        <w:rPr>
          <w:color w:val="000000" w:themeColor="text1"/>
        </w:rPr>
        <w:t>я</w:t>
      </w:r>
      <w:r w:rsidRPr="003474BD">
        <w:rPr>
          <w:color w:val="000000" w:themeColor="text1"/>
        </w:rPr>
        <w:t xml:space="preserve"> по образец (Приложение </w:t>
      </w:r>
      <w:r w:rsidR="00C23325">
        <w:rPr>
          <w:color w:val="000000" w:themeColor="text1"/>
        </w:rPr>
        <w:t>5</w:t>
      </w:r>
      <w:r w:rsidR="00C23325" w:rsidRPr="003474BD">
        <w:rPr>
          <w:color w:val="000000" w:themeColor="text1"/>
        </w:rPr>
        <w:t>),</w:t>
      </w:r>
      <w:r w:rsidR="00C23325" w:rsidRPr="003474BD">
        <w:t xml:space="preserve"> </w:t>
      </w:r>
      <w:r w:rsidRPr="003474BD">
        <w:rPr>
          <w:color w:val="000000" w:themeColor="text1"/>
        </w:rPr>
        <w:t>а преди сключване на договор</w:t>
      </w:r>
      <w:r w:rsidR="00584217" w:rsidRPr="003474BD">
        <w:rPr>
          <w:color w:val="000000" w:themeColor="text1"/>
        </w:rPr>
        <w:t>ите</w:t>
      </w:r>
      <w:r w:rsidRPr="003474BD">
        <w:rPr>
          <w:color w:val="000000" w:themeColor="text1"/>
        </w:rPr>
        <w:t xml:space="preserve"> за финансиране с одобрените кандидати, съответствието им ще се проверява чрез извършване на съответните служебни и документални проверки.</w:t>
      </w:r>
    </w:p>
    <w:bookmarkEnd w:id="49"/>
    <w:p w14:paraId="21F99A7A" w14:textId="77777777" w:rsidR="005A34A4" w:rsidRPr="003474BD" w:rsidRDefault="005A34A4" w:rsidP="003306EF">
      <w:pPr>
        <w:suppressAutoHyphens/>
        <w:spacing w:before="120" w:after="120" w:line="312" w:lineRule="auto"/>
        <w:jc w:val="both"/>
        <w:rPr>
          <w:b/>
          <w:bCs/>
          <w:color w:val="000000" w:themeColor="text1"/>
        </w:rPr>
      </w:pPr>
    </w:p>
    <w:p w14:paraId="20B02FC7" w14:textId="5A26AA45" w:rsidR="005A34A4" w:rsidRPr="003474BD" w:rsidRDefault="005A34A4" w:rsidP="007C46A3">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b/>
          <w:bCs/>
          <w:color w:val="000000" w:themeColor="text1"/>
        </w:rPr>
      </w:pPr>
      <w:r w:rsidRPr="005509D0">
        <w:rPr>
          <w:b/>
          <w:color w:val="000000" w:themeColor="text1"/>
        </w:rPr>
        <w:t>ВАЖНО:</w:t>
      </w:r>
      <w:r w:rsidRPr="005509D0">
        <w:rPr>
          <w:color w:val="000000" w:themeColor="text1"/>
        </w:rPr>
        <w:t xml:space="preserve"> По настоящата процедура са допустими съоръжения за съхранение на електрическа енергия с инсталирана мощност равна или по-голяма от 10 MW, където "инсталирана мощност" е номиналната променливотокова мощност (AC мощност) на съоръжението за съхранение на електрическа енергия, която се измерва в MW или кW.</w:t>
      </w:r>
      <w:r w:rsidR="00E87659">
        <w:rPr>
          <w:color w:val="000000" w:themeColor="text1"/>
        </w:rPr>
        <w:t xml:space="preserve"> </w:t>
      </w:r>
      <w:r w:rsidR="00760A7A" w:rsidRPr="00AF571A">
        <w:rPr>
          <w:color w:val="000000" w:themeColor="text1"/>
        </w:rPr>
        <w:t>Същите следва да</w:t>
      </w:r>
      <w:r w:rsidR="00CD1760" w:rsidRPr="00AF571A">
        <w:rPr>
          <w:color w:val="000000" w:themeColor="text1"/>
        </w:rPr>
        <w:t xml:space="preserve"> отговарят на условията и да</w:t>
      </w:r>
      <w:r w:rsidR="00760A7A" w:rsidRPr="00AF571A">
        <w:rPr>
          <w:color w:val="000000" w:themeColor="text1"/>
        </w:rPr>
        <w:t xml:space="preserve"> могат да </w:t>
      </w:r>
      <w:r w:rsidR="007C46A3" w:rsidRPr="00697A20">
        <w:rPr>
          <w:color w:val="000000" w:themeColor="text1"/>
        </w:rPr>
        <w:t xml:space="preserve">участват в тръжни процедури за закупуване на разполагаемост за резерви за първично регулиране на честотата, автоматично вторично регулиране на честотата и обменните мощности с цел балансиране на инсталираните мощности с динамично променяща се генерация </w:t>
      </w:r>
      <w:r w:rsidR="005A54F5" w:rsidRPr="00697A20" w:rsidDel="005A54F5">
        <w:rPr>
          <w:color w:val="000000" w:themeColor="text1"/>
        </w:rPr>
        <w:t xml:space="preserve"> </w:t>
      </w:r>
    </w:p>
    <w:p w14:paraId="70570F50" w14:textId="39BF1B57" w:rsidR="003609F9" w:rsidRPr="003474BD" w:rsidRDefault="00D2707D" w:rsidP="003306EF">
      <w:pPr>
        <w:suppressAutoHyphens/>
        <w:spacing w:before="120" w:after="120" w:line="312" w:lineRule="auto"/>
        <w:jc w:val="both"/>
        <w:rPr>
          <w:color w:val="000000" w:themeColor="text1"/>
        </w:rPr>
      </w:pPr>
      <w:r w:rsidRPr="003474BD">
        <w:rPr>
          <w:b/>
          <w:bCs/>
          <w:color w:val="000000" w:themeColor="text1"/>
        </w:rPr>
        <w:t>5)</w:t>
      </w:r>
      <w:r w:rsidRPr="003474BD">
        <w:rPr>
          <w:color w:val="000000" w:themeColor="text1"/>
        </w:rPr>
        <w:t xml:space="preserve"> </w:t>
      </w:r>
      <w:r w:rsidR="00A72ADC" w:rsidRPr="003474BD">
        <w:rPr>
          <w:color w:val="000000" w:themeColor="text1"/>
        </w:rPr>
        <w:t>Д</w:t>
      </w:r>
      <w:r w:rsidRPr="003474BD">
        <w:rPr>
          <w:color w:val="000000" w:themeColor="text1"/>
        </w:rPr>
        <w:t xml:space="preserve">а имат </w:t>
      </w:r>
      <w:r w:rsidR="0095683A" w:rsidRPr="00C23325">
        <w:rPr>
          <w:color w:val="000000" w:themeColor="text1"/>
        </w:rPr>
        <w:t xml:space="preserve">постигнат </w:t>
      </w:r>
      <w:r w:rsidRPr="00C23325">
        <w:rPr>
          <w:color w:val="000000" w:themeColor="text1"/>
        </w:rPr>
        <w:t xml:space="preserve">следния етап на </w:t>
      </w:r>
      <w:r w:rsidR="003F13A1" w:rsidRPr="00C23325">
        <w:rPr>
          <w:color w:val="000000" w:themeColor="text1"/>
        </w:rPr>
        <w:t>готовност на предложението</w:t>
      </w:r>
      <w:r w:rsidR="00A25FB2" w:rsidRPr="00C23325">
        <w:rPr>
          <w:color w:val="000000" w:themeColor="text1"/>
        </w:rPr>
        <w:t xml:space="preserve"> к</w:t>
      </w:r>
      <w:r w:rsidR="003609F9" w:rsidRPr="00C23325">
        <w:rPr>
          <w:color w:val="000000" w:themeColor="text1"/>
        </w:rPr>
        <w:t xml:space="preserve">ъм момента на подаване на </w:t>
      </w:r>
      <w:r w:rsidR="0095683A" w:rsidRPr="00C23325">
        <w:rPr>
          <w:color w:val="000000" w:themeColor="text1"/>
        </w:rPr>
        <w:t>заявлението</w:t>
      </w:r>
      <w:r w:rsidR="003609F9" w:rsidRPr="00C23325">
        <w:rPr>
          <w:color w:val="000000" w:themeColor="text1"/>
        </w:rPr>
        <w:t>:</w:t>
      </w:r>
      <w:r w:rsidR="003306EF" w:rsidRPr="00C23325">
        <w:rPr>
          <w:color w:val="000000" w:themeColor="text1"/>
        </w:rPr>
        <w:t xml:space="preserve"> </w:t>
      </w:r>
      <w:r w:rsidR="005509D0" w:rsidRPr="00C23325">
        <w:rPr>
          <w:color w:val="000000" w:themeColor="text1"/>
        </w:rPr>
        <w:t xml:space="preserve">валидно </w:t>
      </w:r>
      <w:r w:rsidR="00515CD3" w:rsidRPr="00C23325">
        <w:rPr>
          <w:color w:val="000000" w:themeColor="text1"/>
        </w:rPr>
        <w:t>становище за присъединяване</w:t>
      </w:r>
      <w:r w:rsidR="003835A8" w:rsidRPr="00C23325">
        <w:rPr>
          <w:color w:val="000000" w:themeColor="text1"/>
        </w:rPr>
        <w:t xml:space="preserve">, </w:t>
      </w:r>
      <w:r w:rsidR="005509D0" w:rsidRPr="00C23325">
        <w:rPr>
          <w:color w:val="000000" w:themeColor="text1"/>
        </w:rPr>
        <w:t xml:space="preserve">действащ </w:t>
      </w:r>
      <w:r w:rsidR="003835A8" w:rsidRPr="00C23325">
        <w:rPr>
          <w:color w:val="000000" w:themeColor="text1"/>
        </w:rPr>
        <w:t xml:space="preserve">предварителен договор за присъединяване или </w:t>
      </w:r>
      <w:r w:rsidR="005509D0" w:rsidRPr="00C23325">
        <w:rPr>
          <w:color w:val="000000" w:themeColor="text1"/>
        </w:rPr>
        <w:t xml:space="preserve">действащ </w:t>
      </w:r>
      <w:r w:rsidR="003835A8" w:rsidRPr="00C23325">
        <w:rPr>
          <w:color w:val="000000" w:themeColor="text1"/>
        </w:rPr>
        <w:t>договор за присъединяване с</w:t>
      </w:r>
      <w:r w:rsidR="00A25FB2" w:rsidRPr="00C23325">
        <w:rPr>
          <w:color w:val="000000" w:themeColor="text1"/>
        </w:rPr>
        <w:t xml:space="preserve"> </w:t>
      </w:r>
      <w:r w:rsidR="00A3753F" w:rsidRPr="00C23325">
        <w:rPr>
          <w:color w:val="000000" w:themeColor="text1"/>
        </w:rPr>
        <w:t>ЕСО</w:t>
      </w:r>
      <w:r w:rsidR="005509D0" w:rsidRPr="00C23325">
        <w:rPr>
          <w:color w:val="000000" w:themeColor="text1"/>
        </w:rPr>
        <w:t xml:space="preserve"> ЕАД</w:t>
      </w:r>
      <w:r w:rsidR="007B1EE1" w:rsidRPr="00E57C4A">
        <w:rPr>
          <w:color w:val="000000" w:themeColor="text1"/>
        </w:rPr>
        <w:t>, от ко</w:t>
      </w:r>
      <w:r w:rsidR="003835A8" w:rsidRPr="00E57C4A">
        <w:rPr>
          <w:color w:val="000000" w:themeColor="text1"/>
        </w:rPr>
        <w:t>и</w:t>
      </w:r>
      <w:r w:rsidR="007B1EE1" w:rsidRPr="00E57C4A">
        <w:rPr>
          <w:color w:val="000000" w:themeColor="text1"/>
        </w:rPr>
        <w:t xml:space="preserve">то да е видно, че срокът за присъединяване на съоръжението за съхранение на електрическа енергия е не по-късно от </w:t>
      </w:r>
      <w:r w:rsidR="000B2A1E" w:rsidRPr="00E57C4A">
        <w:rPr>
          <w:color w:val="000000" w:themeColor="text1"/>
        </w:rPr>
        <w:t>3</w:t>
      </w:r>
      <w:r w:rsidR="007B1EE1" w:rsidRPr="00E57C4A">
        <w:rPr>
          <w:color w:val="000000" w:themeColor="text1"/>
        </w:rPr>
        <w:t>1 март 2026 г.</w:t>
      </w:r>
    </w:p>
    <w:p w14:paraId="474E8587" w14:textId="02FD1741" w:rsidR="00BF6E0A" w:rsidRPr="003474BD" w:rsidRDefault="00BF6E0A" w:rsidP="00A42091">
      <w:pPr>
        <w:suppressAutoHyphens/>
        <w:spacing w:before="120" w:after="120" w:line="312" w:lineRule="auto"/>
        <w:jc w:val="both"/>
        <w:rPr>
          <w:color w:val="000000" w:themeColor="text1"/>
        </w:rPr>
      </w:pPr>
      <w:r w:rsidRPr="003474BD">
        <w:rPr>
          <w:b/>
          <w:bCs/>
          <w:color w:val="000000" w:themeColor="text1"/>
        </w:rPr>
        <w:t>6)</w:t>
      </w:r>
      <w:r w:rsidRPr="003474BD">
        <w:rPr>
          <w:color w:val="000000" w:themeColor="text1"/>
        </w:rPr>
        <w:t xml:space="preserve"> Да предвиждат </w:t>
      </w:r>
      <w:r w:rsidR="00A25FB2" w:rsidRPr="003474BD">
        <w:rPr>
          <w:color w:val="000000" w:themeColor="text1"/>
        </w:rPr>
        <w:t xml:space="preserve">изграждане </w:t>
      </w:r>
      <w:r w:rsidRPr="003474BD">
        <w:rPr>
          <w:color w:val="000000" w:themeColor="text1"/>
        </w:rPr>
        <w:t xml:space="preserve">на </w:t>
      </w:r>
      <w:r w:rsidR="00C807BE" w:rsidRPr="003474BD">
        <w:rPr>
          <w:color w:val="000000" w:themeColor="text1"/>
        </w:rPr>
        <w:t xml:space="preserve">съоръжение за </w:t>
      </w:r>
      <w:r w:rsidR="00A25FB2" w:rsidRPr="003474BD">
        <w:rPr>
          <w:color w:val="000000" w:themeColor="text1"/>
        </w:rPr>
        <w:t>съхранение на електр</w:t>
      </w:r>
      <w:r w:rsidR="00C807BE" w:rsidRPr="003474BD">
        <w:rPr>
          <w:color w:val="000000" w:themeColor="text1"/>
        </w:rPr>
        <w:t xml:space="preserve">ическа </w:t>
      </w:r>
      <w:r w:rsidR="00A25FB2" w:rsidRPr="003474BD">
        <w:rPr>
          <w:color w:val="000000" w:themeColor="text1"/>
        </w:rPr>
        <w:t>енергия</w:t>
      </w:r>
      <w:r w:rsidR="007B1EE1" w:rsidRPr="003474BD">
        <w:rPr>
          <w:color w:val="000000" w:themeColor="text1"/>
        </w:rPr>
        <w:t xml:space="preserve"> </w:t>
      </w:r>
      <w:r w:rsidRPr="003474BD">
        <w:rPr>
          <w:color w:val="000000" w:themeColor="text1"/>
        </w:rPr>
        <w:t xml:space="preserve">със следните </w:t>
      </w:r>
      <w:r w:rsidR="00A512A2" w:rsidRPr="003474BD">
        <w:rPr>
          <w:color w:val="000000" w:themeColor="text1"/>
        </w:rPr>
        <w:t xml:space="preserve">технически </w:t>
      </w:r>
      <w:r w:rsidRPr="003474BD">
        <w:rPr>
          <w:color w:val="000000" w:themeColor="text1"/>
        </w:rPr>
        <w:t xml:space="preserve">характеристики: </w:t>
      </w:r>
    </w:p>
    <w:p w14:paraId="6F1FF7DD" w14:textId="4271CF89" w:rsidR="00426A95" w:rsidRPr="003474BD" w:rsidRDefault="0039269B" w:rsidP="00426A95">
      <w:pPr>
        <w:suppressAutoHyphens/>
        <w:spacing w:before="120" w:after="120" w:line="312" w:lineRule="auto"/>
        <w:ind w:left="450" w:hanging="450"/>
        <w:jc w:val="both"/>
        <w:rPr>
          <w:color w:val="000000" w:themeColor="text1"/>
        </w:rPr>
      </w:pPr>
      <w:r w:rsidRPr="003474BD">
        <w:rPr>
          <w:color w:val="000000" w:themeColor="text1"/>
        </w:rPr>
        <w:t>•</w:t>
      </w:r>
      <w:r w:rsidRPr="003474BD">
        <w:rPr>
          <w:color w:val="000000" w:themeColor="text1"/>
        </w:rPr>
        <w:tab/>
      </w:r>
      <w:r w:rsidR="00B532FA" w:rsidRPr="003474BD">
        <w:rPr>
          <w:color w:val="000000" w:themeColor="text1"/>
        </w:rPr>
        <w:t xml:space="preserve">гарантиран (полезен) капацитет за продължителност на съхранението от най-малко 2 часа (дефиниран като отношението на гарантирания капацитет на съоръжението за </w:t>
      </w:r>
      <w:r w:rsidR="00B532FA" w:rsidRPr="003474BD">
        <w:rPr>
          <w:color w:val="000000" w:themeColor="text1"/>
        </w:rPr>
        <w:lastRenderedPageBreak/>
        <w:t>съхранение, в MWh, към неговата максимална мощност на зареждане/разреждане в MW) да е с най-малко 2 часа (C-Rate да е максимум C/2)</w:t>
      </w:r>
      <w:r w:rsidR="00426A95" w:rsidRPr="003474BD">
        <w:rPr>
          <w:color w:val="000000" w:themeColor="text1"/>
        </w:rPr>
        <w:t>;</w:t>
      </w:r>
    </w:p>
    <w:p w14:paraId="50A33B3E" w14:textId="5BFE1186" w:rsidR="00426A95" w:rsidRPr="003474BD" w:rsidRDefault="0039269B" w:rsidP="002F5DE2">
      <w:pPr>
        <w:suppressAutoHyphens/>
        <w:spacing w:before="120" w:after="120" w:line="312" w:lineRule="auto"/>
        <w:ind w:left="450" w:hanging="450"/>
        <w:jc w:val="both"/>
        <w:rPr>
          <w:color w:val="000000" w:themeColor="text1"/>
        </w:rPr>
      </w:pPr>
      <w:r w:rsidRPr="003474BD">
        <w:rPr>
          <w:color w:val="000000" w:themeColor="text1"/>
        </w:rPr>
        <w:t>•</w:t>
      </w:r>
      <w:r w:rsidRPr="003474BD">
        <w:rPr>
          <w:color w:val="000000" w:themeColor="text1"/>
        </w:rPr>
        <w:tab/>
      </w:r>
      <w:r w:rsidR="00870CC4" w:rsidRPr="003474BD">
        <w:rPr>
          <w:color w:val="000000" w:themeColor="text1"/>
        </w:rPr>
        <w:t xml:space="preserve">номинална променливотокова </w:t>
      </w:r>
      <w:r w:rsidR="00426A95" w:rsidRPr="003474BD">
        <w:rPr>
          <w:color w:val="000000" w:themeColor="text1"/>
        </w:rPr>
        <w:t xml:space="preserve"> мощност </w:t>
      </w:r>
      <w:r w:rsidR="00870CC4" w:rsidRPr="003474BD">
        <w:rPr>
          <w:color w:val="000000" w:themeColor="text1"/>
        </w:rPr>
        <w:t>(AС мощност)</w:t>
      </w:r>
      <w:r w:rsidR="00B532FA" w:rsidRPr="003474BD">
        <w:rPr>
          <w:color w:val="000000" w:themeColor="text1"/>
        </w:rPr>
        <w:t xml:space="preserve"> </w:t>
      </w:r>
      <w:r w:rsidR="00426A95" w:rsidRPr="003474BD">
        <w:rPr>
          <w:color w:val="000000" w:themeColor="text1"/>
        </w:rPr>
        <w:t xml:space="preserve">от </w:t>
      </w:r>
      <w:r w:rsidR="00870CC4" w:rsidRPr="003474BD">
        <w:rPr>
          <w:color w:val="000000" w:themeColor="text1"/>
        </w:rPr>
        <w:t xml:space="preserve">минимум </w:t>
      </w:r>
      <w:r w:rsidR="00426A95" w:rsidRPr="003474BD">
        <w:rPr>
          <w:color w:val="000000" w:themeColor="text1"/>
        </w:rPr>
        <w:t>1</w:t>
      </w:r>
      <w:r w:rsidR="00A3753F" w:rsidRPr="003474BD">
        <w:rPr>
          <w:color w:val="000000" w:themeColor="text1"/>
        </w:rPr>
        <w:t>0</w:t>
      </w:r>
      <w:r w:rsidRPr="003474BD">
        <w:rPr>
          <w:color w:val="000000" w:themeColor="text1"/>
        </w:rPr>
        <w:t> </w:t>
      </w:r>
      <w:r w:rsidR="00426A95" w:rsidRPr="003474BD">
        <w:rPr>
          <w:color w:val="000000" w:themeColor="text1"/>
        </w:rPr>
        <w:t>MW;</w:t>
      </w:r>
    </w:p>
    <w:p w14:paraId="26035E88" w14:textId="61D4A1D6" w:rsidR="00EF6201" w:rsidRPr="003474BD" w:rsidRDefault="007B1EE1" w:rsidP="00A42091">
      <w:pPr>
        <w:suppressAutoHyphens/>
        <w:spacing w:before="120" w:after="120" w:line="312" w:lineRule="auto"/>
        <w:ind w:left="450" w:hanging="450"/>
        <w:jc w:val="both"/>
        <w:rPr>
          <w:color w:val="000000" w:themeColor="text1"/>
        </w:rPr>
      </w:pPr>
      <w:r w:rsidRPr="003474BD">
        <w:rPr>
          <w:color w:val="000000" w:themeColor="text1"/>
        </w:rPr>
        <w:t>•</w:t>
      </w:r>
      <w:r w:rsidRPr="003474BD">
        <w:rPr>
          <w:color w:val="000000" w:themeColor="text1"/>
        </w:rPr>
        <w:tab/>
      </w:r>
      <w:bookmarkStart w:id="51" w:name="_Hlk169613546"/>
      <w:r w:rsidR="00697A20" w:rsidRPr="00C23325">
        <w:rPr>
          <w:color w:val="000000" w:themeColor="text1"/>
        </w:rPr>
        <w:t xml:space="preserve">да </w:t>
      </w:r>
      <w:r w:rsidR="00697A20" w:rsidRPr="00E57C4A">
        <w:rPr>
          <w:color w:val="000000" w:themeColor="text1"/>
        </w:rPr>
        <w:t xml:space="preserve">отговарят на </w:t>
      </w:r>
      <w:r w:rsidR="00697A20" w:rsidRPr="00C23325">
        <w:rPr>
          <w:color w:val="000000" w:themeColor="text1"/>
        </w:rPr>
        <w:t xml:space="preserve">параметри за осигуряване на резерви за първично регулиране на честотата </w:t>
      </w:r>
      <w:r w:rsidR="00C23325" w:rsidRPr="00C23325">
        <w:rPr>
          <w:color w:val="000000" w:themeColor="text1"/>
        </w:rPr>
        <w:t>и/или</w:t>
      </w:r>
      <w:r w:rsidR="00697A20" w:rsidRPr="00C23325">
        <w:rPr>
          <w:color w:val="000000" w:themeColor="text1"/>
        </w:rPr>
        <w:t xml:space="preserve"> автоматично вторично регулиране на честотата и обменните мощности</w:t>
      </w:r>
      <w:r w:rsidR="00C23325">
        <w:rPr>
          <w:color w:val="000000" w:themeColor="text1"/>
        </w:rPr>
        <w:t xml:space="preserve">, посочени в Приложение 8 - </w:t>
      </w:r>
      <w:r w:rsidR="00C23325" w:rsidRPr="00C23325">
        <w:rPr>
          <w:color w:val="000000" w:themeColor="text1"/>
        </w:rPr>
        <w:t>"Минимални технически изисквания"</w:t>
      </w:r>
      <w:r w:rsidR="00C23325" w:rsidRPr="00C23325" w:rsidDel="00C23325">
        <w:rPr>
          <w:color w:val="000000" w:themeColor="text1"/>
        </w:rPr>
        <w:t xml:space="preserve"> </w:t>
      </w:r>
      <w:bookmarkEnd w:id="51"/>
    </w:p>
    <w:p w14:paraId="720C53AA" w14:textId="77777777" w:rsidR="00AE4F53" w:rsidRPr="003474BD" w:rsidRDefault="00AE4F53" w:rsidP="00A42091">
      <w:pPr>
        <w:suppressAutoHyphens/>
        <w:spacing w:before="120" w:after="120" w:line="312" w:lineRule="auto"/>
        <w:ind w:left="450" w:hanging="450"/>
        <w:jc w:val="both"/>
        <w:rPr>
          <w:b/>
          <w:bCs/>
          <w:color w:val="000000" w:themeColor="text1"/>
        </w:rPr>
      </w:pPr>
    </w:p>
    <w:p w14:paraId="2431E1D6" w14:textId="651C36B1" w:rsidR="00AE4F53" w:rsidRPr="003474BD" w:rsidRDefault="00AE4F53" w:rsidP="00A42091">
      <w:pPr>
        <w:pBdr>
          <w:top w:val="double" w:sz="4" w:space="1" w:color="538135"/>
          <w:left w:val="double" w:sz="4" w:space="0" w:color="538135"/>
          <w:bottom w:val="double" w:sz="4" w:space="1" w:color="538135"/>
          <w:right w:val="double" w:sz="4" w:space="4" w:color="538135"/>
        </w:pBdr>
        <w:suppressAutoHyphens/>
        <w:spacing w:before="120" w:after="120" w:line="312" w:lineRule="auto"/>
        <w:jc w:val="both"/>
        <w:rPr>
          <w:color w:val="000000" w:themeColor="text1"/>
        </w:rPr>
      </w:pPr>
      <w:r w:rsidRPr="003474BD">
        <w:rPr>
          <w:b/>
          <w:color w:val="000000" w:themeColor="text1"/>
        </w:rPr>
        <w:t>ВАЖНО:</w:t>
      </w:r>
      <w:r w:rsidRPr="003474BD">
        <w:rPr>
          <w:color w:val="000000" w:themeColor="text1"/>
        </w:rPr>
        <w:t xml:space="preserve"> Обстоятелствата по точка 6) се удостоверяват чрез представения на етап кандидатстване </w:t>
      </w:r>
      <w:r w:rsidRPr="005509D0">
        <w:rPr>
          <w:color w:val="000000" w:themeColor="text1"/>
        </w:rPr>
        <w:t>идеен проект или технически/работен проект, изготвен от лице с проектантска правоспособност, вписано в съответния регистър на Камарата на инженерите в инвестиционното проектиране</w:t>
      </w:r>
      <w:r w:rsidR="00B5681F" w:rsidRPr="005509D0">
        <w:rPr>
          <w:color w:val="000000" w:themeColor="text1"/>
        </w:rPr>
        <w:t xml:space="preserve"> и отговарящо на </w:t>
      </w:r>
      <w:r w:rsidR="001B75EC" w:rsidRPr="005509D0">
        <w:rPr>
          <w:color w:val="000000" w:themeColor="text1"/>
        </w:rPr>
        <w:t>приложимите</w:t>
      </w:r>
      <w:r w:rsidR="00B5681F" w:rsidRPr="005509D0">
        <w:rPr>
          <w:color w:val="000000" w:themeColor="text1"/>
        </w:rPr>
        <w:t xml:space="preserve"> нормативни изисквания</w:t>
      </w:r>
      <w:r w:rsidRPr="00B2506A">
        <w:rPr>
          <w:color w:val="000000" w:themeColor="text1"/>
        </w:rPr>
        <w:t>.</w:t>
      </w:r>
    </w:p>
    <w:p w14:paraId="184EDAF0" w14:textId="77777777" w:rsidR="00AE4F53" w:rsidRPr="003474BD" w:rsidRDefault="00AE4F53" w:rsidP="00A42091">
      <w:pPr>
        <w:suppressAutoHyphens/>
        <w:spacing w:before="120" w:after="120" w:line="312" w:lineRule="auto"/>
        <w:ind w:left="450" w:hanging="450"/>
        <w:jc w:val="both"/>
        <w:rPr>
          <w:b/>
          <w:bCs/>
          <w:color w:val="000000" w:themeColor="text1"/>
        </w:rPr>
      </w:pPr>
    </w:p>
    <w:p w14:paraId="55302F3B" w14:textId="7457729A" w:rsidR="003F13A1" w:rsidRPr="002F5DE2" w:rsidRDefault="00BF3B09" w:rsidP="00B32816">
      <w:pPr>
        <w:suppressAutoHyphens/>
        <w:spacing w:before="120" w:after="120" w:line="312" w:lineRule="auto"/>
        <w:jc w:val="both"/>
        <w:rPr>
          <w:color w:val="000000" w:themeColor="text1"/>
        </w:rPr>
      </w:pPr>
      <w:r w:rsidRPr="003474BD">
        <w:rPr>
          <w:b/>
          <w:bCs/>
          <w:color w:val="000000" w:themeColor="text1"/>
        </w:rPr>
        <w:t>7</w:t>
      </w:r>
      <w:r w:rsidR="00B73266" w:rsidRPr="003474BD">
        <w:rPr>
          <w:b/>
          <w:bCs/>
          <w:color w:val="000000" w:themeColor="text1"/>
        </w:rPr>
        <w:t>)</w:t>
      </w:r>
      <w:r w:rsidR="00B73266" w:rsidRPr="003474BD">
        <w:rPr>
          <w:color w:val="000000" w:themeColor="text1"/>
        </w:rPr>
        <w:t xml:space="preserve"> </w:t>
      </w:r>
      <w:r w:rsidR="003F13A1" w:rsidRPr="003474BD">
        <w:rPr>
          <w:color w:val="000000" w:themeColor="text1"/>
        </w:rPr>
        <w:t xml:space="preserve">Да бъдат </w:t>
      </w:r>
      <w:r w:rsidR="003F13A1" w:rsidRPr="002F5DE2">
        <w:rPr>
          <w:color w:val="000000" w:themeColor="text1"/>
        </w:rPr>
        <w:t xml:space="preserve">за не повече от </w:t>
      </w:r>
      <w:r w:rsidR="003F13A1" w:rsidRPr="00E57C4A">
        <w:rPr>
          <w:color w:val="000000" w:themeColor="text1"/>
        </w:rPr>
        <w:t>1/</w:t>
      </w:r>
      <w:r w:rsidR="00486DEE" w:rsidRPr="002F5DE2">
        <w:rPr>
          <w:color w:val="000000" w:themeColor="text1"/>
        </w:rPr>
        <w:t>5</w:t>
      </w:r>
      <w:r w:rsidR="00760A7A" w:rsidRPr="002F5DE2">
        <w:rPr>
          <w:color w:val="000000" w:themeColor="text1"/>
        </w:rPr>
        <w:t xml:space="preserve"> </w:t>
      </w:r>
      <w:r w:rsidR="003F13A1" w:rsidRPr="002F5DE2">
        <w:rPr>
          <w:color w:val="000000" w:themeColor="text1"/>
        </w:rPr>
        <w:t xml:space="preserve">от общата квота на </w:t>
      </w:r>
      <w:r w:rsidR="00B5316E" w:rsidRPr="002F5DE2">
        <w:rPr>
          <w:color w:val="000000" w:themeColor="text1"/>
        </w:rPr>
        <w:t xml:space="preserve">капацитета на съоръженията за съхранение </w:t>
      </w:r>
      <w:r w:rsidR="003F13A1" w:rsidRPr="002F5DE2">
        <w:rPr>
          <w:color w:val="000000" w:themeColor="text1"/>
        </w:rPr>
        <w:t xml:space="preserve">на електрическа енергия </w:t>
      </w:r>
      <w:r w:rsidR="00B5316E" w:rsidRPr="002F5DE2">
        <w:rPr>
          <w:color w:val="000000" w:themeColor="text1"/>
        </w:rPr>
        <w:t xml:space="preserve">по настоящата </w:t>
      </w:r>
      <w:r w:rsidR="0017730B" w:rsidRPr="002F5DE2">
        <w:rPr>
          <w:color w:val="000000" w:themeColor="text1"/>
        </w:rPr>
        <w:t>П</w:t>
      </w:r>
      <w:r w:rsidR="00B5316E" w:rsidRPr="002F5DE2">
        <w:rPr>
          <w:color w:val="000000" w:themeColor="text1"/>
        </w:rPr>
        <w:t>роцедура</w:t>
      </w:r>
      <w:r w:rsidR="00760A7A" w:rsidRPr="002F5DE2">
        <w:rPr>
          <w:color w:val="000000" w:themeColor="text1"/>
        </w:rPr>
        <w:t xml:space="preserve"> 1</w:t>
      </w:r>
      <w:r w:rsidR="00B5316E" w:rsidRPr="002F5DE2">
        <w:rPr>
          <w:color w:val="000000" w:themeColor="text1"/>
        </w:rPr>
        <w:t xml:space="preserve"> </w:t>
      </w:r>
      <w:r w:rsidR="003F13A1" w:rsidRPr="002F5DE2">
        <w:rPr>
          <w:color w:val="000000" w:themeColor="text1"/>
        </w:rPr>
        <w:t>съгласно раздел 7</w:t>
      </w:r>
      <w:r w:rsidR="00B5316E" w:rsidRPr="002F5DE2">
        <w:rPr>
          <w:color w:val="000000" w:themeColor="text1"/>
        </w:rPr>
        <w:t xml:space="preserve"> (т.е. за не повече от </w:t>
      </w:r>
      <w:r w:rsidR="00486DEE" w:rsidRPr="002F5DE2">
        <w:rPr>
          <w:color w:val="000000" w:themeColor="text1"/>
        </w:rPr>
        <w:t>6</w:t>
      </w:r>
      <w:r w:rsidR="00760A7A" w:rsidRPr="002F5DE2">
        <w:rPr>
          <w:color w:val="000000" w:themeColor="text1"/>
        </w:rPr>
        <w:t>00</w:t>
      </w:r>
      <w:r w:rsidR="00B5316E" w:rsidRPr="002F5DE2">
        <w:rPr>
          <w:color w:val="000000" w:themeColor="text1"/>
        </w:rPr>
        <w:t xml:space="preserve"> MWh)</w:t>
      </w:r>
      <w:r w:rsidR="003F13A1" w:rsidRPr="002F5DE2">
        <w:rPr>
          <w:color w:val="000000" w:themeColor="text1"/>
        </w:rPr>
        <w:t xml:space="preserve"> по-горе за едно предприятие за един или няколко проекта.</w:t>
      </w:r>
    </w:p>
    <w:p w14:paraId="599680A8" w14:textId="65B8133A" w:rsidR="00AE4F53" w:rsidRPr="003474BD" w:rsidRDefault="003F13A1" w:rsidP="00455501">
      <w:pPr>
        <w:suppressAutoHyphens/>
        <w:spacing w:before="120" w:after="120" w:line="312" w:lineRule="auto"/>
        <w:ind w:hanging="24"/>
        <w:jc w:val="both"/>
        <w:rPr>
          <w:color w:val="000000" w:themeColor="text1"/>
        </w:rPr>
      </w:pPr>
      <w:r w:rsidRPr="002F5DE2">
        <w:rPr>
          <w:color w:val="000000" w:themeColor="text1"/>
        </w:rPr>
        <w:t xml:space="preserve">При изчисляването на </w:t>
      </w:r>
      <w:r w:rsidRPr="00E57C4A">
        <w:rPr>
          <w:color w:val="000000" w:themeColor="text1"/>
        </w:rPr>
        <w:t>1/</w:t>
      </w:r>
      <w:r w:rsidR="00486DEE" w:rsidRPr="002F5DE2">
        <w:rPr>
          <w:color w:val="000000" w:themeColor="text1"/>
        </w:rPr>
        <w:t>5</w:t>
      </w:r>
      <w:r w:rsidR="00760A7A" w:rsidRPr="002F5DE2">
        <w:rPr>
          <w:color w:val="000000" w:themeColor="text1"/>
        </w:rPr>
        <w:t xml:space="preserve"> </w:t>
      </w:r>
      <w:r w:rsidRPr="002F5DE2">
        <w:rPr>
          <w:color w:val="000000" w:themeColor="text1"/>
        </w:rPr>
        <w:t xml:space="preserve">от </w:t>
      </w:r>
      <w:r w:rsidRPr="003474BD">
        <w:rPr>
          <w:color w:val="000000" w:themeColor="text1"/>
        </w:rPr>
        <w:t xml:space="preserve">общата квота, ще се включват и предложения на свързаните с кандидата предприятия. </w:t>
      </w:r>
      <w:bookmarkStart w:id="52" w:name="_Hlk169704531"/>
      <w:r w:rsidRPr="003474BD">
        <w:rPr>
          <w:color w:val="000000" w:themeColor="text1"/>
        </w:rPr>
        <w:t>Свързаността ще се установява към датата на подаване на предложението за инвестиция</w:t>
      </w:r>
      <w:r w:rsidR="007542F1">
        <w:rPr>
          <w:color w:val="000000" w:themeColor="text1"/>
        </w:rPr>
        <w:t xml:space="preserve"> и към датата на подписване на договора за финансиране</w:t>
      </w:r>
      <w:r w:rsidRPr="003474BD">
        <w:rPr>
          <w:color w:val="000000" w:themeColor="text1"/>
        </w:rPr>
        <w:t>, съгласно т. 3 на Приложение 1 на Регламент (ЕС №651/214)</w:t>
      </w:r>
      <w:bookmarkEnd w:id="52"/>
      <w:r w:rsidR="000D5FD3" w:rsidRPr="003474BD">
        <w:rPr>
          <w:color w:val="000000" w:themeColor="text1"/>
        </w:rPr>
        <w:t xml:space="preserve"> като за целта кандидатите деклар</w:t>
      </w:r>
      <w:r w:rsidR="007542F1">
        <w:rPr>
          <w:color w:val="000000" w:themeColor="text1"/>
        </w:rPr>
        <w:t xml:space="preserve">ират </w:t>
      </w:r>
      <w:r w:rsidR="000D5FD3" w:rsidRPr="003474BD">
        <w:rPr>
          <w:color w:val="000000" w:themeColor="text1"/>
        </w:rPr>
        <w:t>свързани</w:t>
      </w:r>
      <w:r w:rsidR="007542F1">
        <w:rPr>
          <w:color w:val="000000" w:themeColor="text1"/>
        </w:rPr>
        <w:t>те с тях</w:t>
      </w:r>
      <w:r w:rsidR="000D5FD3" w:rsidRPr="003474BD">
        <w:rPr>
          <w:color w:val="000000" w:themeColor="text1"/>
        </w:rPr>
        <w:t xml:space="preserve"> лица </w:t>
      </w:r>
      <w:r w:rsidR="007542F1">
        <w:rPr>
          <w:color w:val="000000" w:themeColor="text1"/>
        </w:rPr>
        <w:t xml:space="preserve">в Декларация за държавна помощ </w:t>
      </w:r>
      <w:r w:rsidR="000D5FD3" w:rsidRPr="003474BD">
        <w:rPr>
          <w:color w:val="000000" w:themeColor="text1"/>
        </w:rPr>
        <w:t xml:space="preserve"> </w:t>
      </w:r>
      <w:r w:rsidR="007542F1">
        <w:rPr>
          <w:color w:val="000000" w:themeColor="text1"/>
        </w:rPr>
        <w:t>(</w:t>
      </w:r>
      <w:r w:rsidR="000D5FD3" w:rsidRPr="003474BD">
        <w:rPr>
          <w:color w:val="000000" w:themeColor="text1"/>
        </w:rPr>
        <w:t xml:space="preserve">Приложение </w:t>
      </w:r>
      <w:r w:rsidR="00C23325" w:rsidRPr="00E57C4A">
        <w:rPr>
          <w:color w:val="000000" w:themeColor="text1"/>
        </w:rPr>
        <w:t>2</w:t>
      </w:r>
      <w:r w:rsidR="007542F1" w:rsidRPr="00E57C4A">
        <w:rPr>
          <w:color w:val="000000" w:themeColor="text1"/>
        </w:rPr>
        <w:t>)</w:t>
      </w:r>
      <w:r w:rsidR="00C41B1E" w:rsidRPr="007542F1">
        <w:rPr>
          <w:color w:val="000000" w:themeColor="text1"/>
        </w:rPr>
        <w:t>.</w:t>
      </w:r>
      <w:r w:rsidR="000D5FD3" w:rsidRPr="003474BD">
        <w:rPr>
          <w:color w:val="000000" w:themeColor="text1"/>
        </w:rPr>
        <w:t xml:space="preserve"> </w:t>
      </w:r>
    </w:p>
    <w:p w14:paraId="5CABDE6B" w14:textId="77777777" w:rsidR="003F1496" w:rsidRPr="003474BD" w:rsidRDefault="003F1496" w:rsidP="00A42091">
      <w:pPr>
        <w:suppressAutoHyphens/>
        <w:spacing w:before="120" w:after="120" w:line="312" w:lineRule="auto"/>
        <w:jc w:val="both"/>
        <w:rPr>
          <w:b/>
          <w:color w:val="000000" w:themeColor="text1"/>
        </w:rPr>
      </w:pPr>
      <w:r w:rsidRPr="003474BD">
        <w:rPr>
          <w:b/>
          <w:color w:val="000000" w:themeColor="text1"/>
        </w:rPr>
        <w:t xml:space="preserve">II. Допустими дейности: </w:t>
      </w:r>
    </w:p>
    <w:p w14:paraId="2E49327F" w14:textId="49D96A71" w:rsidR="003F1496" w:rsidRPr="003474BD" w:rsidRDefault="0053308F" w:rsidP="00A42091">
      <w:pPr>
        <w:suppressAutoHyphens/>
        <w:spacing w:before="120" w:after="120" w:line="312" w:lineRule="auto"/>
        <w:jc w:val="both"/>
        <w:rPr>
          <w:color w:val="000000" w:themeColor="text1"/>
        </w:rPr>
      </w:pPr>
      <w:r w:rsidRPr="003474BD">
        <w:rPr>
          <w:color w:val="000000" w:themeColor="text1"/>
        </w:rPr>
        <w:t xml:space="preserve">Изграждане и въвеждане в експлоатация на съоръжения за съхранение на електрическа енергия </w:t>
      </w:r>
      <w:r w:rsidR="00455E4C" w:rsidRPr="003474BD">
        <w:rPr>
          <w:color w:val="000000" w:themeColor="text1"/>
        </w:rPr>
        <w:t xml:space="preserve">. </w:t>
      </w:r>
    </w:p>
    <w:p w14:paraId="02E171B6" w14:textId="1D45EA8B" w:rsidR="00AE2D1C" w:rsidRPr="003474BD" w:rsidRDefault="00AE2D1C" w:rsidP="00A42091">
      <w:pPr>
        <w:pBdr>
          <w:top w:val="double" w:sz="4" w:space="1" w:color="538135"/>
          <w:left w:val="double" w:sz="4" w:space="0" w:color="538135"/>
          <w:bottom w:val="double" w:sz="4" w:space="1" w:color="538135"/>
          <w:right w:val="double" w:sz="4" w:space="4" w:color="538135"/>
        </w:pBdr>
        <w:suppressAutoHyphens/>
        <w:spacing w:before="120" w:after="120" w:line="312" w:lineRule="auto"/>
        <w:jc w:val="both"/>
        <w:rPr>
          <w:color w:val="000000" w:themeColor="text1"/>
        </w:rPr>
      </w:pPr>
      <w:r w:rsidRPr="00E57C4A">
        <w:rPr>
          <w:b/>
          <w:color w:val="000000" w:themeColor="text1"/>
        </w:rPr>
        <w:t>ВАЖНО:</w:t>
      </w:r>
      <w:r w:rsidRPr="00E57C4A">
        <w:rPr>
          <w:color w:val="000000" w:themeColor="text1"/>
        </w:rPr>
        <w:t xml:space="preserve"> Изградените</w:t>
      </w:r>
      <w:r w:rsidR="0081522A" w:rsidRPr="00E57C4A">
        <w:rPr>
          <w:color w:val="000000" w:themeColor="text1"/>
        </w:rPr>
        <w:t xml:space="preserve"> и въведени в експлоатация </w:t>
      </w:r>
      <w:r w:rsidR="00DA1846" w:rsidRPr="00E57C4A">
        <w:rPr>
          <w:color w:val="000000" w:themeColor="text1"/>
        </w:rPr>
        <w:t xml:space="preserve">съоръжения за съхранение на електрическа енергия </w:t>
      </w:r>
      <w:r w:rsidR="0081522A" w:rsidRPr="00E57C4A">
        <w:rPr>
          <w:color w:val="000000" w:themeColor="text1"/>
        </w:rPr>
        <w:t xml:space="preserve">по настоящата процедура </w:t>
      </w:r>
      <w:r w:rsidRPr="00E57C4A">
        <w:rPr>
          <w:color w:val="000000" w:themeColor="text1"/>
        </w:rPr>
        <w:t xml:space="preserve">следва да отговарят най-малко на техническите </w:t>
      </w:r>
      <w:r w:rsidR="00DA77F9" w:rsidRPr="00E57C4A">
        <w:rPr>
          <w:color w:val="000000" w:themeColor="text1"/>
        </w:rPr>
        <w:t>характеристики</w:t>
      </w:r>
      <w:r w:rsidRPr="00E57C4A">
        <w:rPr>
          <w:color w:val="000000" w:themeColor="text1"/>
        </w:rPr>
        <w:t xml:space="preserve">, посочени в Приложение </w:t>
      </w:r>
      <w:r w:rsidR="005033BB" w:rsidRPr="00E57C4A">
        <w:rPr>
          <w:color w:val="000000" w:themeColor="text1"/>
        </w:rPr>
        <w:t>8</w:t>
      </w:r>
      <w:r w:rsidRPr="00E57C4A">
        <w:rPr>
          <w:color w:val="000000" w:themeColor="text1"/>
        </w:rPr>
        <w:t xml:space="preserve"> </w:t>
      </w:r>
      <w:bookmarkStart w:id="53" w:name="_Hlk146725454"/>
      <w:r w:rsidR="00DC5756" w:rsidRPr="00E57C4A">
        <w:rPr>
          <w:color w:val="000000" w:themeColor="text1"/>
        </w:rPr>
        <w:t>"</w:t>
      </w:r>
      <w:r w:rsidRPr="00E57C4A">
        <w:rPr>
          <w:color w:val="000000" w:themeColor="text1"/>
        </w:rPr>
        <w:t xml:space="preserve">Минимални технически </w:t>
      </w:r>
      <w:r w:rsidR="000A3900" w:rsidRPr="00E57C4A">
        <w:rPr>
          <w:color w:val="000000" w:themeColor="text1"/>
        </w:rPr>
        <w:t>изисквания</w:t>
      </w:r>
      <w:r w:rsidR="00DC5756" w:rsidRPr="00E57C4A">
        <w:rPr>
          <w:color w:val="000000" w:themeColor="text1"/>
        </w:rPr>
        <w:t>"</w:t>
      </w:r>
      <w:bookmarkEnd w:id="53"/>
      <w:r w:rsidRPr="00E57C4A">
        <w:rPr>
          <w:color w:val="000000" w:themeColor="text1"/>
        </w:rPr>
        <w:t xml:space="preserve"> </w:t>
      </w:r>
      <w:r w:rsidR="00BF0652" w:rsidRPr="00E57C4A">
        <w:rPr>
          <w:color w:val="000000" w:themeColor="text1"/>
        </w:rPr>
        <w:t xml:space="preserve"> и да постигнат като минимум </w:t>
      </w:r>
      <w:r w:rsidR="00DA1846" w:rsidRPr="00E57C4A">
        <w:rPr>
          <w:color w:val="000000" w:themeColor="text1"/>
        </w:rPr>
        <w:t>капацитета</w:t>
      </w:r>
      <w:r w:rsidR="00BF0652" w:rsidRPr="00E57C4A">
        <w:rPr>
          <w:color w:val="000000" w:themeColor="text1"/>
        </w:rPr>
        <w:t>, посочен в предложението за изпълнение на инвестицията.</w:t>
      </w:r>
      <w:r w:rsidR="00F93733" w:rsidRPr="002F5DE2">
        <w:rPr>
          <w:color w:val="000000" w:themeColor="text1"/>
        </w:rPr>
        <w:t xml:space="preserve"> </w:t>
      </w:r>
    </w:p>
    <w:p w14:paraId="22DCD568" w14:textId="4F56A569" w:rsidR="00622832" w:rsidRPr="003474BD" w:rsidRDefault="001A0143" w:rsidP="00A42091">
      <w:pPr>
        <w:suppressAutoHyphens/>
        <w:spacing w:before="120" w:after="120" w:line="312" w:lineRule="auto"/>
        <w:jc w:val="both"/>
        <w:rPr>
          <w:color w:val="000000" w:themeColor="text1"/>
        </w:rPr>
      </w:pPr>
      <w:r>
        <w:rPr>
          <w:color w:val="000000" w:themeColor="text1"/>
        </w:rPr>
        <w:t>Дейностите по проектиране, изграждане и въвеждане в експлоатация на с</w:t>
      </w:r>
      <w:r w:rsidR="00190011" w:rsidRPr="003474BD">
        <w:rPr>
          <w:color w:val="000000" w:themeColor="text1"/>
        </w:rPr>
        <w:t>ъоръжение</w:t>
      </w:r>
      <w:r w:rsidR="0081522A" w:rsidRPr="003474BD">
        <w:rPr>
          <w:color w:val="000000" w:themeColor="text1"/>
        </w:rPr>
        <w:t>то</w:t>
      </w:r>
      <w:r w:rsidR="00190011" w:rsidRPr="003474BD">
        <w:rPr>
          <w:color w:val="000000" w:themeColor="text1"/>
        </w:rPr>
        <w:t xml:space="preserve"> за съхранение на </w:t>
      </w:r>
      <w:r w:rsidR="0081522A" w:rsidRPr="003474BD">
        <w:rPr>
          <w:color w:val="000000" w:themeColor="text1"/>
        </w:rPr>
        <w:t xml:space="preserve">електрическа енергия </w:t>
      </w:r>
      <w:r w:rsidR="00190011" w:rsidRPr="003474BD">
        <w:rPr>
          <w:color w:val="000000" w:themeColor="text1"/>
        </w:rPr>
        <w:t>трябва да бъд</w:t>
      </w:r>
      <w:r>
        <w:rPr>
          <w:color w:val="000000" w:themeColor="text1"/>
        </w:rPr>
        <w:t>ат</w:t>
      </w:r>
      <w:r w:rsidR="00190011" w:rsidRPr="003474BD">
        <w:rPr>
          <w:color w:val="000000" w:themeColor="text1"/>
        </w:rPr>
        <w:t xml:space="preserve"> изпълнен</w:t>
      </w:r>
      <w:r>
        <w:rPr>
          <w:color w:val="000000" w:themeColor="text1"/>
        </w:rPr>
        <w:t>и</w:t>
      </w:r>
      <w:r w:rsidR="00190011" w:rsidRPr="003474BD">
        <w:rPr>
          <w:color w:val="000000" w:themeColor="text1"/>
        </w:rPr>
        <w:t xml:space="preserve"> </w:t>
      </w:r>
      <w:r w:rsidR="00622832" w:rsidRPr="003474BD">
        <w:rPr>
          <w:color w:val="000000" w:themeColor="text1"/>
        </w:rPr>
        <w:t>при</w:t>
      </w:r>
      <w:r w:rsidR="002F5DE2">
        <w:rPr>
          <w:color w:val="000000" w:themeColor="text1"/>
          <w:lang w:val="en-US"/>
        </w:rPr>
        <w:t xml:space="preserve"> </w:t>
      </w:r>
      <w:r w:rsidR="006D4FAA" w:rsidRPr="006D4FAA">
        <w:rPr>
          <w:color w:val="000000" w:themeColor="text1"/>
        </w:rPr>
        <w:t>спазва</w:t>
      </w:r>
      <w:r w:rsidR="006D4FAA">
        <w:rPr>
          <w:color w:val="000000" w:themeColor="text1"/>
        </w:rPr>
        <w:t xml:space="preserve">не на </w:t>
      </w:r>
      <w:r w:rsidR="006D4FAA" w:rsidRPr="006D4FAA">
        <w:rPr>
          <w:color w:val="000000" w:themeColor="text1"/>
        </w:rPr>
        <w:t xml:space="preserve">принципа за добро финансово управление съгласно чл. 33 от Регламент (ЕС) 2018/1046. </w:t>
      </w:r>
      <w:r w:rsidR="006D4FAA" w:rsidRPr="006D4FAA">
        <w:rPr>
          <w:color w:val="000000" w:themeColor="text1"/>
        </w:rPr>
        <w:lastRenderedPageBreak/>
        <w:t xml:space="preserve">В тази връзка, разходването на средствата </w:t>
      </w:r>
      <w:r w:rsidR="006D4FAA">
        <w:rPr>
          <w:color w:val="000000" w:themeColor="text1"/>
        </w:rPr>
        <w:t xml:space="preserve">трябва </w:t>
      </w:r>
      <w:r w:rsidR="006D4FAA" w:rsidRPr="006D4FAA">
        <w:rPr>
          <w:color w:val="000000" w:themeColor="text1"/>
        </w:rPr>
        <w:t xml:space="preserve">да бъде икономично, ефективно и ефикасно. </w:t>
      </w:r>
      <w:r w:rsidR="006D4FAA">
        <w:rPr>
          <w:color w:val="000000" w:themeColor="text1"/>
        </w:rPr>
        <w:t>И</w:t>
      </w:r>
      <w:r w:rsidR="006D4FAA" w:rsidRPr="006D4FAA">
        <w:rPr>
          <w:color w:val="000000" w:themeColor="text1"/>
        </w:rPr>
        <w:t xml:space="preserve">зграждането на </w:t>
      </w:r>
      <w:r w:rsidR="006D4FAA">
        <w:rPr>
          <w:color w:val="000000" w:themeColor="text1"/>
        </w:rPr>
        <w:t>съоръжението за съхранение</w:t>
      </w:r>
      <w:r w:rsidR="006D4FAA" w:rsidRPr="006D4FAA">
        <w:rPr>
          <w:color w:val="000000" w:themeColor="text1"/>
        </w:rPr>
        <w:t xml:space="preserve"> трябва да бъде изпълнено при пазарни условия от външни изпълнители и </w:t>
      </w:r>
      <w:r w:rsidR="006D4FAA">
        <w:rPr>
          <w:color w:val="000000" w:themeColor="text1"/>
        </w:rPr>
        <w:t xml:space="preserve">да бъде </w:t>
      </w:r>
      <w:r w:rsidR="006D4FAA" w:rsidRPr="006D4FAA">
        <w:rPr>
          <w:color w:val="000000" w:themeColor="text1"/>
        </w:rPr>
        <w:t xml:space="preserve">осигурено наличие на одитна следа. Дълготрайните активи следва да бъдат закупени при пазарни условия от трети страни, несвързани с </w:t>
      </w:r>
      <w:r w:rsidR="006D4FAA">
        <w:rPr>
          <w:color w:val="000000" w:themeColor="text1"/>
        </w:rPr>
        <w:t>кандидата</w:t>
      </w:r>
      <w:r w:rsidR="006D4FAA" w:rsidRPr="006D4FAA">
        <w:rPr>
          <w:color w:val="000000" w:themeColor="text1"/>
        </w:rPr>
        <w:t xml:space="preserve">, и да бъдат включени в активите на предприятието, получаващо помощта, съгласно приложимите счетоводни стандарти. За целта към първичните платежни документи следва да се приложат оферти,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Съгласно чл. 132 от Регламент (ЕС) 2018/1046, </w:t>
      </w:r>
      <w:r w:rsidR="006D4FAA">
        <w:rPr>
          <w:color w:val="000000" w:themeColor="text1"/>
        </w:rPr>
        <w:t>кандидатът</w:t>
      </w:r>
      <w:r w:rsidR="006D4FAA" w:rsidRPr="006D4FAA">
        <w:rPr>
          <w:color w:val="000000" w:themeColor="text1"/>
        </w:rPr>
        <w:t xml:space="preserve"> отговаря за съхранението на документацията и разходооправдателните документи, включително статистически данни и други данни, отнасящи се до финансирането, както и записи и документи в електронен формат.</w:t>
      </w:r>
      <w:r w:rsidR="006D4FAA">
        <w:rPr>
          <w:color w:val="000000" w:themeColor="text1"/>
        </w:rPr>
        <w:t xml:space="preserve"> </w:t>
      </w:r>
    </w:p>
    <w:p w14:paraId="0CF3C503" w14:textId="4BC3B303" w:rsidR="00622832" w:rsidRPr="003474BD" w:rsidRDefault="00817AAA" w:rsidP="00A42091">
      <w:pPr>
        <w:suppressAutoHyphens/>
        <w:spacing w:before="120" w:after="120" w:line="312" w:lineRule="auto"/>
        <w:jc w:val="both"/>
        <w:rPr>
          <w:color w:val="000000" w:themeColor="text1"/>
        </w:rPr>
      </w:pPr>
      <w:r>
        <w:rPr>
          <w:color w:val="000000" w:themeColor="text1"/>
        </w:rPr>
        <w:t>М</w:t>
      </w:r>
      <w:r w:rsidR="00622832" w:rsidRPr="003474BD">
        <w:rPr>
          <w:color w:val="000000" w:themeColor="text1"/>
        </w:rPr>
        <w:t xml:space="preserve">онтиране на съоръженията за съхранение </w:t>
      </w:r>
      <w:r w:rsidR="00D20DC7" w:rsidRPr="003474BD">
        <w:rPr>
          <w:color w:val="000000" w:themeColor="text1"/>
        </w:rPr>
        <w:t>следва</w:t>
      </w:r>
      <w:r w:rsidR="00622832" w:rsidRPr="003474BD">
        <w:rPr>
          <w:color w:val="000000" w:themeColor="text1"/>
        </w:rPr>
        <w:t xml:space="preserve"> да се извърш</w:t>
      </w:r>
      <w:r>
        <w:rPr>
          <w:color w:val="000000" w:themeColor="text1"/>
        </w:rPr>
        <w:t>и</w:t>
      </w:r>
      <w:r w:rsidR="00622832" w:rsidRPr="003474BD">
        <w:rPr>
          <w:color w:val="000000" w:themeColor="text1"/>
        </w:rPr>
        <w:t xml:space="preserve"> </w:t>
      </w:r>
      <w:r w:rsidR="00D20DC7" w:rsidRPr="003474BD">
        <w:rPr>
          <w:color w:val="000000" w:themeColor="text1"/>
        </w:rPr>
        <w:t xml:space="preserve">от </w:t>
      </w:r>
      <w:r w:rsidR="00622832" w:rsidRPr="003474BD">
        <w:rPr>
          <w:color w:val="000000" w:themeColor="text1"/>
        </w:rPr>
        <w:t>лица, притежаващи необходимата професионална квалификация</w:t>
      </w:r>
      <w:r w:rsidR="00D20DC7" w:rsidRPr="003474BD">
        <w:rPr>
          <w:color w:val="000000" w:themeColor="text1"/>
        </w:rPr>
        <w:t xml:space="preserve"> и отговарящи на нормативните изисквания за извършването на тази дейност. </w:t>
      </w:r>
    </w:p>
    <w:p w14:paraId="17F70F2B" w14:textId="26C136CC" w:rsidR="00F5468C" w:rsidRPr="003474BD" w:rsidRDefault="00F5468C" w:rsidP="00A42091">
      <w:pPr>
        <w:suppressAutoHyphens/>
        <w:spacing w:before="120" w:after="120" w:line="312" w:lineRule="auto"/>
        <w:jc w:val="both"/>
        <w:rPr>
          <w:color w:val="000000" w:themeColor="text1"/>
        </w:rPr>
      </w:pPr>
      <w:r w:rsidRPr="003474BD">
        <w:rPr>
          <w:color w:val="000000" w:themeColor="text1"/>
        </w:rPr>
        <w:t>Изискванията могат да бъдат проверявани от СНД чрез извършване на проверки на място, включително и относно обстоятелствата дали съответният актив е доставен, инсталиран, тестван и пуснат в експлоатация, отговаря на техническите спецификации, използва се на определеното място за целите на предложението за изпълнение на инвестиция, и съгласно договора за финансиране с крайния получател.</w:t>
      </w:r>
    </w:p>
    <w:p w14:paraId="7A281132" w14:textId="4D0AF2AA" w:rsidR="00622832" w:rsidRPr="003474BD" w:rsidRDefault="00B14BC4" w:rsidP="00A42091">
      <w:pPr>
        <w:suppressAutoHyphens/>
        <w:spacing w:before="120" w:after="120" w:line="312" w:lineRule="auto"/>
        <w:jc w:val="both"/>
        <w:rPr>
          <w:color w:val="000000" w:themeColor="text1"/>
        </w:rPr>
      </w:pPr>
      <w:r w:rsidRPr="003474BD">
        <w:rPr>
          <w:color w:val="000000" w:themeColor="text1"/>
        </w:rPr>
        <w:t>В</w:t>
      </w:r>
      <w:r w:rsidR="00F5468C" w:rsidRPr="003474BD">
        <w:t xml:space="preserve"> </w:t>
      </w:r>
      <w:r w:rsidR="00F5468C" w:rsidRPr="003474BD">
        <w:rPr>
          <w:color w:val="000000" w:themeColor="text1"/>
        </w:rPr>
        <w:t>тази връзка, в</w:t>
      </w:r>
      <w:r w:rsidR="00622832" w:rsidRPr="003474BD">
        <w:rPr>
          <w:color w:val="000000" w:themeColor="text1"/>
        </w:rPr>
        <w:t xml:space="preserve"> случай че бъде сключен договор за финансиране с крайния получател, кандидатите следва да имат предвид задължението да осигуряват постоянен достъп </w:t>
      </w:r>
      <w:r w:rsidRPr="003474BD">
        <w:rPr>
          <w:color w:val="000000" w:themeColor="text1"/>
        </w:rPr>
        <w:t xml:space="preserve">на СНД </w:t>
      </w:r>
      <w:r w:rsidR="00622832" w:rsidRPr="003474BD">
        <w:rPr>
          <w:color w:val="000000" w:themeColor="text1"/>
        </w:rPr>
        <w:t>до местата, където ще се осъществява предложението за изпълнение на инвестиция, в това число и достъп до информационните системи, както и до всички документи и бази данни, свързани с финансово-техническото управление на предложението за изпълнение на инвестиция</w:t>
      </w:r>
      <w:r w:rsidR="008B51C0" w:rsidRPr="003474BD">
        <w:rPr>
          <w:color w:val="000000" w:themeColor="text1"/>
        </w:rPr>
        <w:t>та</w:t>
      </w:r>
      <w:r w:rsidR="00622832" w:rsidRPr="003474BD">
        <w:rPr>
          <w:color w:val="000000" w:themeColor="text1"/>
        </w:rPr>
        <w:t>.</w:t>
      </w:r>
    </w:p>
    <w:p w14:paraId="35E8E340" w14:textId="5CD9DD47" w:rsidR="00BF3B09" w:rsidRPr="003474BD" w:rsidRDefault="008B51C0" w:rsidP="00A42091">
      <w:pPr>
        <w:suppressAutoHyphens/>
        <w:spacing w:before="120" w:after="120" w:line="312" w:lineRule="auto"/>
        <w:jc w:val="both"/>
        <w:rPr>
          <w:color w:val="000000" w:themeColor="text1"/>
        </w:rPr>
      </w:pPr>
      <w:bookmarkStart w:id="54" w:name="_Hlk169265534"/>
      <w:r w:rsidRPr="003474BD">
        <w:rPr>
          <w:color w:val="000000" w:themeColor="text1"/>
        </w:rPr>
        <w:t xml:space="preserve">Съоръженията за съхранение на електрическа енергия </w:t>
      </w:r>
      <w:bookmarkEnd w:id="54"/>
      <w:r w:rsidR="00BF0652" w:rsidRPr="003474BD">
        <w:rPr>
          <w:color w:val="000000" w:themeColor="text1"/>
        </w:rPr>
        <w:t xml:space="preserve">трябва да бъдат </w:t>
      </w:r>
      <w:r w:rsidRPr="003474BD">
        <w:rPr>
          <w:color w:val="000000" w:themeColor="text1"/>
        </w:rPr>
        <w:t xml:space="preserve">изградени, </w:t>
      </w:r>
      <w:r w:rsidR="00BF0652" w:rsidRPr="003474BD">
        <w:rPr>
          <w:color w:val="000000" w:themeColor="text1"/>
        </w:rPr>
        <w:t>присъединени към електропреносна</w:t>
      </w:r>
      <w:r w:rsidR="007018A7" w:rsidRPr="003474BD">
        <w:rPr>
          <w:color w:val="000000" w:themeColor="text1"/>
        </w:rPr>
        <w:t>та</w:t>
      </w:r>
      <w:r w:rsidR="00BF0652" w:rsidRPr="003474BD">
        <w:rPr>
          <w:color w:val="000000" w:themeColor="text1"/>
        </w:rPr>
        <w:t xml:space="preserve"> мрежа и въведени в експлоатация съгласно приложимото законодателство (ЗУТ</w:t>
      </w:r>
      <w:r w:rsidR="006C5B30">
        <w:rPr>
          <w:color w:val="000000" w:themeColor="text1"/>
        </w:rPr>
        <w:t xml:space="preserve">, Закона за енергетика и </w:t>
      </w:r>
      <w:r w:rsidR="006C5B30" w:rsidRPr="00F86B14">
        <w:rPr>
          <w:color w:val="000000" w:themeColor="text1"/>
          <w:lang w:val="en-US"/>
        </w:rPr>
        <w:t>подзаконови</w:t>
      </w:r>
      <w:r w:rsidR="006C5B30">
        <w:rPr>
          <w:color w:val="000000" w:themeColor="text1"/>
        </w:rPr>
        <w:t>те</w:t>
      </w:r>
      <w:r w:rsidR="006C5B30" w:rsidRPr="00F86B14">
        <w:rPr>
          <w:color w:val="000000" w:themeColor="text1"/>
          <w:lang w:val="en-US"/>
        </w:rPr>
        <w:t xml:space="preserve"> нормативни актове по прилагането </w:t>
      </w:r>
      <w:r w:rsidR="006E64A6">
        <w:rPr>
          <w:color w:val="000000" w:themeColor="text1"/>
        </w:rPr>
        <w:t>им</w:t>
      </w:r>
      <w:r w:rsidR="004B0E0E">
        <w:rPr>
          <w:color w:val="000000" w:themeColor="text1"/>
        </w:rPr>
        <w:t>)</w:t>
      </w:r>
      <w:r w:rsidR="00BF0652" w:rsidRPr="003474BD">
        <w:rPr>
          <w:color w:val="000000" w:themeColor="text1"/>
        </w:rPr>
        <w:t xml:space="preserve"> не по-късно от 31.03.2026 г.</w:t>
      </w:r>
      <w:r w:rsidR="003E6ED6" w:rsidRPr="003474BD">
        <w:rPr>
          <w:color w:val="000000" w:themeColor="text1"/>
        </w:rPr>
        <w:t xml:space="preserve"> </w:t>
      </w:r>
      <w:r w:rsidR="00165D0A">
        <w:rPr>
          <w:color w:val="000000" w:themeColor="text1"/>
        </w:rPr>
        <w:t>Крайните получатели</w:t>
      </w:r>
      <w:r w:rsidR="00C60DBF">
        <w:rPr>
          <w:color w:val="000000" w:themeColor="text1"/>
        </w:rPr>
        <w:t xml:space="preserve"> </w:t>
      </w:r>
      <w:r w:rsidR="003E6ED6" w:rsidRPr="003474BD">
        <w:rPr>
          <w:color w:val="000000" w:themeColor="text1"/>
        </w:rPr>
        <w:t xml:space="preserve">трябва да </w:t>
      </w:r>
      <w:r w:rsidR="00BE208D" w:rsidRPr="003474BD">
        <w:rPr>
          <w:color w:val="000000" w:themeColor="text1"/>
        </w:rPr>
        <w:t xml:space="preserve">предоставят </w:t>
      </w:r>
      <w:bookmarkStart w:id="55" w:name="_Hlk169613772"/>
      <w:r w:rsidR="00AE6CB9" w:rsidRPr="003474BD">
        <w:rPr>
          <w:color w:val="000000" w:themeColor="text1"/>
        </w:rPr>
        <w:t xml:space="preserve">копие от двустранно подписан </w:t>
      </w:r>
      <w:r w:rsidR="001D6051" w:rsidRPr="003474BD">
        <w:rPr>
          <w:color w:val="000000" w:themeColor="text1"/>
        </w:rPr>
        <w:t>с ЕСО</w:t>
      </w:r>
      <w:r w:rsidR="00A237C8" w:rsidRPr="003474BD">
        <w:rPr>
          <w:color w:val="000000" w:themeColor="text1"/>
        </w:rPr>
        <w:t xml:space="preserve"> </w:t>
      </w:r>
      <w:r w:rsidR="00AE6CB9" w:rsidRPr="003474BD">
        <w:rPr>
          <w:color w:val="000000" w:themeColor="text1"/>
        </w:rPr>
        <w:t>протокол за преминали тестове</w:t>
      </w:r>
      <w:r w:rsidR="001D6051" w:rsidRPr="003474BD">
        <w:rPr>
          <w:color w:val="000000" w:themeColor="text1"/>
        </w:rPr>
        <w:t xml:space="preserve"> за доказване на параметри</w:t>
      </w:r>
      <w:r w:rsidR="00A237C8" w:rsidRPr="003474BD">
        <w:rPr>
          <w:color w:val="000000" w:themeColor="text1"/>
        </w:rPr>
        <w:t xml:space="preserve"> за осигуряване на резерви за първично регулиране на честотата </w:t>
      </w:r>
      <w:r w:rsidR="00165D0A">
        <w:rPr>
          <w:color w:val="000000" w:themeColor="text1"/>
        </w:rPr>
        <w:t>и</w:t>
      </w:r>
      <w:r w:rsidR="00A237C8" w:rsidRPr="003474BD">
        <w:rPr>
          <w:color w:val="000000" w:themeColor="text1"/>
        </w:rPr>
        <w:t>/</w:t>
      </w:r>
      <w:r w:rsidR="00165D0A">
        <w:rPr>
          <w:color w:val="000000" w:themeColor="text1"/>
        </w:rPr>
        <w:t>или</w:t>
      </w:r>
      <w:r w:rsidR="00A237C8" w:rsidRPr="003474BD">
        <w:rPr>
          <w:color w:val="000000" w:themeColor="text1"/>
        </w:rPr>
        <w:t xml:space="preserve"> автоматично вторично регулиране на честотата и обменните мощности</w:t>
      </w:r>
      <w:bookmarkEnd w:id="55"/>
      <w:r w:rsidR="00AE6CB9" w:rsidRPr="003474BD">
        <w:rPr>
          <w:color w:val="000000" w:themeColor="text1"/>
        </w:rPr>
        <w:t xml:space="preserve"> </w:t>
      </w:r>
      <w:r w:rsidR="00C60DBF">
        <w:rPr>
          <w:color w:val="000000" w:themeColor="text1"/>
        </w:rPr>
        <w:t>за съответните съоръжения</w:t>
      </w:r>
      <w:r w:rsidR="00C60DBF" w:rsidRPr="003474BD">
        <w:rPr>
          <w:color w:val="000000" w:themeColor="text1"/>
        </w:rPr>
        <w:t xml:space="preserve"> за съхранение на електрическа енергия</w:t>
      </w:r>
      <w:r w:rsidR="003E6ED6" w:rsidRPr="003474BD">
        <w:rPr>
          <w:color w:val="000000" w:themeColor="text1"/>
        </w:rPr>
        <w:t xml:space="preserve"> не по-късно </w:t>
      </w:r>
      <w:r w:rsidR="003E6ED6" w:rsidRPr="005033BB">
        <w:rPr>
          <w:color w:val="000000" w:themeColor="text1"/>
        </w:rPr>
        <w:t xml:space="preserve">от </w:t>
      </w:r>
      <w:r w:rsidR="003E6ED6" w:rsidRPr="00E57C4A">
        <w:rPr>
          <w:color w:val="000000" w:themeColor="text1"/>
        </w:rPr>
        <w:t>31 май 2026 г</w:t>
      </w:r>
      <w:r w:rsidR="003E6ED6" w:rsidRPr="003474BD">
        <w:rPr>
          <w:color w:val="000000" w:themeColor="text1"/>
        </w:rPr>
        <w:t>.</w:t>
      </w:r>
      <w:r w:rsidR="00BF0652" w:rsidRPr="003474BD">
        <w:rPr>
          <w:color w:val="000000" w:themeColor="text1"/>
        </w:rPr>
        <w:t xml:space="preserve"> </w:t>
      </w:r>
    </w:p>
    <w:p w14:paraId="4262DC40" w14:textId="5D8618D8" w:rsidR="00BF3B09" w:rsidRPr="003474BD" w:rsidRDefault="00BF3B09" w:rsidP="00A42091">
      <w:pPr>
        <w:pBdr>
          <w:top w:val="double" w:sz="4" w:space="1" w:color="538135"/>
          <w:left w:val="double" w:sz="4" w:space="0" w:color="538135"/>
          <w:bottom w:val="double" w:sz="4" w:space="1" w:color="538135"/>
          <w:right w:val="double" w:sz="4" w:space="4" w:color="538135"/>
        </w:pBdr>
        <w:suppressAutoHyphens/>
        <w:spacing w:before="120" w:after="120" w:line="312" w:lineRule="auto"/>
        <w:jc w:val="both"/>
        <w:rPr>
          <w:color w:val="000000" w:themeColor="text1"/>
        </w:rPr>
      </w:pPr>
      <w:r w:rsidRPr="003474BD">
        <w:rPr>
          <w:b/>
          <w:color w:val="000000" w:themeColor="text1"/>
        </w:rPr>
        <w:lastRenderedPageBreak/>
        <w:t>ВАЖНО:</w:t>
      </w:r>
      <w:r w:rsidRPr="003474BD">
        <w:rPr>
          <w:color w:val="000000" w:themeColor="text1"/>
        </w:rPr>
        <w:t xml:space="preserve"> Обстоятелствата по </w:t>
      </w:r>
      <w:r w:rsidR="0064188A" w:rsidRPr="003474BD">
        <w:rPr>
          <w:color w:val="000000" w:themeColor="text1"/>
        </w:rPr>
        <w:t>предходния параграф</w:t>
      </w:r>
      <w:r w:rsidRPr="003474BD">
        <w:rPr>
          <w:color w:val="000000" w:themeColor="text1"/>
        </w:rPr>
        <w:t xml:space="preserve"> се удостоверяват преди изплащане на помощта чрез представяне на</w:t>
      </w:r>
      <w:r w:rsidR="003D75F6" w:rsidRPr="003474BD">
        <w:rPr>
          <w:color w:val="000000" w:themeColor="text1"/>
        </w:rPr>
        <w:t xml:space="preserve"> </w:t>
      </w:r>
      <w:r w:rsidRPr="003474BD">
        <w:rPr>
          <w:color w:val="000000" w:themeColor="text1"/>
        </w:rPr>
        <w:t>заверен</w:t>
      </w:r>
      <w:r w:rsidR="003D75F6" w:rsidRPr="003474BD">
        <w:rPr>
          <w:color w:val="000000" w:themeColor="text1"/>
        </w:rPr>
        <w:t>и</w:t>
      </w:r>
      <w:r w:rsidRPr="003474BD">
        <w:rPr>
          <w:color w:val="000000" w:themeColor="text1"/>
        </w:rPr>
        <w:t xml:space="preserve"> копи</w:t>
      </w:r>
      <w:r w:rsidR="003D75F6" w:rsidRPr="003474BD">
        <w:rPr>
          <w:color w:val="000000" w:themeColor="text1"/>
        </w:rPr>
        <w:t>я</w:t>
      </w:r>
      <w:r w:rsidRPr="003474BD">
        <w:rPr>
          <w:color w:val="000000" w:themeColor="text1"/>
        </w:rPr>
        <w:t xml:space="preserve"> от</w:t>
      </w:r>
      <w:r w:rsidR="003D75F6" w:rsidRPr="003474BD">
        <w:rPr>
          <w:color w:val="000000" w:themeColor="text1"/>
        </w:rPr>
        <w:t>: (а)</w:t>
      </w:r>
      <w:r w:rsidRPr="003474BD">
        <w:rPr>
          <w:color w:val="000000" w:themeColor="text1"/>
        </w:rPr>
        <w:t xml:space="preserve"> вл</w:t>
      </w:r>
      <w:r w:rsidR="003D75F6" w:rsidRPr="003474BD">
        <w:rPr>
          <w:color w:val="000000" w:themeColor="text1"/>
        </w:rPr>
        <w:t>я</w:t>
      </w:r>
      <w:r w:rsidRPr="003474BD">
        <w:rPr>
          <w:color w:val="000000" w:themeColor="text1"/>
        </w:rPr>
        <w:t>зл</w:t>
      </w:r>
      <w:r w:rsidR="003D75F6" w:rsidRPr="003474BD">
        <w:rPr>
          <w:color w:val="000000" w:themeColor="text1"/>
        </w:rPr>
        <w:t>о</w:t>
      </w:r>
      <w:r w:rsidRPr="003474BD">
        <w:rPr>
          <w:color w:val="000000" w:themeColor="text1"/>
        </w:rPr>
        <w:t xml:space="preserve"> в сила </w:t>
      </w:r>
      <w:r w:rsidR="003D75F6" w:rsidRPr="003474BD">
        <w:rPr>
          <w:color w:val="000000" w:themeColor="text1"/>
        </w:rPr>
        <w:t xml:space="preserve">разрешение за ползване </w:t>
      </w:r>
      <w:r w:rsidR="00165D0A">
        <w:rPr>
          <w:color w:val="000000" w:themeColor="text1"/>
        </w:rPr>
        <w:t>за съоръжението за съхранение</w:t>
      </w:r>
      <w:r w:rsidR="00BF0652" w:rsidRPr="003474BD">
        <w:rPr>
          <w:color w:val="000000" w:themeColor="text1"/>
        </w:rPr>
        <w:t>; (</w:t>
      </w:r>
      <w:r w:rsidR="00486DEE">
        <w:rPr>
          <w:color w:val="000000" w:themeColor="text1"/>
        </w:rPr>
        <w:t>б</w:t>
      </w:r>
      <w:r w:rsidR="00BF0652" w:rsidRPr="003474BD">
        <w:rPr>
          <w:color w:val="000000" w:themeColor="text1"/>
        </w:rPr>
        <w:t>) договор за достъп и пренос на електрическа енергия с</w:t>
      </w:r>
      <w:r w:rsidR="00165D0A">
        <w:rPr>
          <w:color w:val="000000" w:themeColor="text1"/>
        </w:rPr>
        <w:t xml:space="preserve"> ЕСО</w:t>
      </w:r>
      <w:r w:rsidR="002F5DE2">
        <w:rPr>
          <w:color w:val="000000" w:themeColor="text1"/>
          <w:lang w:val="en-US"/>
        </w:rPr>
        <w:t>;</w:t>
      </w:r>
      <w:r w:rsidR="00A44D90" w:rsidRPr="003474BD">
        <w:rPr>
          <w:color w:val="000000" w:themeColor="text1"/>
        </w:rPr>
        <w:t xml:space="preserve"> </w:t>
      </w:r>
      <w:r w:rsidR="00165D0A">
        <w:rPr>
          <w:color w:val="000000" w:themeColor="text1"/>
        </w:rPr>
        <w:t xml:space="preserve">и </w:t>
      </w:r>
      <w:r w:rsidR="00A44D90" w:rsidRPr="003474BD">
        <w:rPr>
          <w:color w:val="000000" w:themeColor="text1"/>
        </w:rPr>
        <w:t>(</w:t>
      </w:r>
      <w:r w:rsidR="00486DEE">
        <w:rPr>
          <w:color w:val="000000" w:themeColor="text1"/>
        </w:rPr>
        <w:t>в</w:t>
      </w:r>
      <w:r w:rsidR="00A44D90" w:rsidRPr="003474BD">
        <w:rPr>
          <w:color w:val="000000" w:themeColor="text1"/>
        </w:rPr>
        <w:t>)</w:t>
      </w:r>
      <w:r w:rsidR="001614A9" w:rsidRPr="003474BD">
        <w:rPr>
          <w:color w:val="000000" w:themeColor="text1"/>
        </w:rPr>
        <w:t xml:space="preserve"> </w:t>
      </w:r>
      <w:r w:rsidR="00F07479" w:rsidRPr="003474BD">
        <w:rPr>
          <w:color w:val="000000" w:themeColor="text1"/>
        </w:rPr>
        <w:t>протокол за преминали тестове за доказване на параметри за осигуряване на резерви</w:t>
      </w:r>
      <w:r w:rsidR="004B0E0E">
        <w:rPr>
          <w:color w:val="000000" w:themeColor="text1"/>
        </w:rPr>
        <w:t>.</w:t>
      </w:r>
    </w:p>
    <w:p w14:paraId="289E6F0A" w14:textId="099A1D06" w:rsidR="00AA52DF" w:rsidRPr="003474BD" w:rsidRDefault="0064188A" w:rsidP="00AA52DF">
      <w:pPr>
        <w:spacing w:before="120" w:after="120" w:line="312" w:lineRule="auto"/>
        <w:jc w:val="both"/>
        <w:rPr>
          <w:color w:val="000000" w:themeColor="text1"/>
        </w:rPr>
      </w:pPr>
      <w:r w:rsidRPr="003474BD">
        <w:rPr>
          <w:color w:val="000000" w:themeColor="text1"/>
        </w:rPr>
        <w:t xml:space="preserve">Съоръженията за съхранение на електрическа енергия </w:t>
      </w:r>
      <w:r w:rsidR="00AA52DF" w:rsidRPr="003474BD">
        <w:rPr>
          <w:color w:val="000000" w:themeColor="text1"/>
        </w:rPr>
        <w:t xml:space="preserve"> трябва да бъдат </w:t>
      </w:r>
      <w:r w:rsidR="00A44D90" w:rsidRPr="003474BD">
        <w:rPr>
          <w:color w:val="000000" w:themeColor="text1"/>
        </w:rPr>
        <w:t xml:space="preserve">проектирани, </w:t>
      </w:r>
      <w:r w:rsidRPr="003474BD">
        <w:rPr>
          <w:color w:val="000000" w:themeColor="text1"/>
        </w:rPr>
        <w:t xml:space="preserve">изградени </w:t>
      </w:r>
      <w:r w:rsidR="00A44D90" w:rsidRPr="003474BD">
        <w:rPr>
          <w:color w:val="000000" w:themeColor="text1"/>
        </w:rPr>
        <w:t xml:space="preserve">и експлоатирани </w:t>
      </w:r>
      <w:r w:rsidRPr="003474BD">
        <w:rPr>
          <w:color w:val="000000" w:themeColor="text1"/>
        </w:rPr>
        <w:t xml:space="preserve">в </w:t>
      </w:r>
      <w:r w:rsidR="00AA52DF" w:rsidRPr="003474BD">
        <w:rPr>
          <w:color w:val="000000" w:themeColor="text1"/>
        </w:rPr>
        <w:t>съответствие с изискванията на Закона за енергетиката (ЗЕ), Закона за устройство на територията (ЗУТ), Закона за опазване на околната среда (ЗООС), Закона за биологичното разнообразие (ЗБР), Закона за управление на отпадъците (ЗУО)</w:t>
      </w:r>
      <w:r w:rsidR="00170885">
        <w:rPr>
          <w:color w:val="000000" w:themeColor="text1"/>
        </w:rPr>
        <w:t>, Закона за технически изисквания към продуктите</w:t>
      </w:r>
      <w:r w:rsidR="002F5DE2">
        <w:rPr>
          <w:color w:val="000000" w:themeColor="text1"/>
          <w:lang w:val="en-US"/>
        </w:rPr>
        <w:t xml:space="preserve"> (</w:t>
      </w:r>
      <w:r w:rsidR="002F5DE2">
        <w:rPr>
          <w:color w:val="000000" w:themeColor="text1"/>
        </w:rPr>
        <w:t>ЗТП</w:t>
      </w:r>
      <w:r w:rsidR="002F5DE2">
        <w:rPr>
          <w:color w:val="000000" w:themeColor="text1"/>
          <w:lang w:val="en-US"/>
        </w:rPr>
        <w:t>)</w:t>
      </w:r>
      <w:r w:rsidR="00AA52DF" w:rsidRPr="003474BD">
        <w:rPr>
          <w:color w:val="000000" w:themeColor="text1"/>
        </w:rPr>
        <w:t xml:space="preserve"> и на останалата приложима национална и европейска нормативна уредба.</w:t>
      </w:r>
    </w:p>
    <w:p w14:paraId="4DEB708B" w14:textId="77777777" w:rsidR="0064188A" w:rsidRPr="003474BD" w:rsidRDefault="0064188A" w:rsidP="0064188A">
      <w:pPr>
        <w:suppressAutoHyphens/>
        <w:spacing w:before="120" w:after="120" w:line="312" w:lineRule="auto"/>
        <w:jc w:val="both"/>
        <w:rPr>
          <w:color w:val="000000" w:themeColor="text1"/>
        </w:rPr>
      </w:pPr>
      <w:r w:rsidRPr="003474BD">
        <w:rPr>
          <w:color w:val="000000" w:themeColor="text1"/>
        </w:rPr>
        <w:t>Ако в срока на изпълнение на инвестицията не бъдат получени приложимите документи и не бъде доказано изпълнението на предвидената инвестиция, отчетените дейности и извършените разходи няма да бъдат признати.</w:t>
      </w:r>
    </w:p>
    <w:p w14:paraId="3B06709C" w14:textId="515831B7" w:rsidR="00AA52DF" w:rsidRPr="003474BD" w:rsidRDefault="00AA52DF" w:rsidP="00AA52DF">
      <w:pPr>
        <w:pBdr>
          <w:top w:val="double" w:sz="4" w:space="1" w:color="538135"/>
          <w:left w:val="double" w:sz="4" w:space="4" w:color="538135"/>
          <w:bottom w:val="double" w:sz="4" w:space="1" w:color="538135"/>
          <w:right w:val="double" w:sz="4" w:space="4" w:color="538135"/>
        </w:pBdr>
        <w:spacing w:before="120" w:after="120" w:line="312" w:lineRule="auto"/>
        <w:jc w:val="both"/>
        <w:rPr>
          <w:color w:val="000000" w:themeColor="text1"/>
        </w:rPr>
      </w:pPr>
      <w:r w:rsidRPr="003474BD">
        <w:rPr>
          <w:b/>
          <w:bCs/>
        </w:rPr>
        <w:t xml:space="preserve">ВАЖНО: </w:t>
      </w:r>
      <w:r w:rsidRPr="003474BD">
        <w:t xml:space="preserve">В процеса на изпълнение на одобрените инвестиции крайните получатели възлагат на външни изпълнители извършването на допустимите дейности. Изпълнителите не са партньори по изпълнението на одобрената инвестиция, а доставчици на стоки и услуги или строителство, необходими за нейното изпълнение. В тази връзка, изборът на изпълнители трябва да съответства на приложимото законодателство – ЗОП (за възложители по смисъла на ЗОП) и ПОСТАНОВЛЕНИЕ № 80 на МС от 09.05.2022 г. за определяне на правилата за възлагане на дейности по инвестиции от крайни получатели на средства от Механизма за възстановяване и устойчивост (за юридически лица, които не са възложители по смисъла на ЗОП). ПОСТАНОВЛЕНИЕ № 80 на МС </w:t>
      </w:r>
      <w:r w:rsidR="009D4481" w:rsidRPr="003474BD">
        <w:t xml:space="preserve">(за юридически лица, които не са възложители по смисъла на ЗОП) </w:t>
      </w:r>
      <w:r w:rsidR="008F4D11" w:rsidRPr="003474BD">
        <w:t xml:space="preserve">няма да се </w:t>
      </w:r>
      <w:r w:rsidRPr="003474BD">
        <w:t>прилага</w:t>
      </w:r>
      <w:r w:rsidR="00205B76" w:rsidRPr="003474BD">
        <w:t xml:space="preserve"> </w:t>
      </w:r>
      <w:r w:rsidRPr="003474BD">
        <w:t xml:space="preserve">инвестиции, за които финансирането от Механизма съставлява сума, </w:t>
      </w:r>
      <w:r w:rsidR="008F4D11" w:rsidRPr="003474BD">
        <w:t xml:space="preserve">равна или </w:t>
      </w:r>
      <w:r w:rsidRPr="003474BD">
        <w:t>по-</w:t>
      </w:r>
      <w:r w:rsidR="008F4D11" w:rsidRPr="003474BD">
        <w:t xml:space="preserve">малка </w:t>
      </w:r>
      <w:r w:rsidRPr="003474BD">
        <w:t xml:space="preserve"> от 50 на сто от общата сума на одобрената инвестиция. </w:t>
      </w:r>
    </w:p>
    <w:p w14:paraId="2EA2E1D3" w14:textId="47086884" w:rsidR="003F1496" w:rsidRPr="003474BD" w:rsidRDefault="003F1496" w:rsidP="00A42091">
      <w:pPr>
        <w:suppressAutoHyphens/>
        <w:spacing w:before="120" w:after="120" w:line="312" w:lineRule="auto"/>
        <w:jc w:val="both"/>
        <w:rPr>
          <w:color w:val="000000" w:themeColor="text1"/>
        </w:rPr>
      </w:pPr>
    </w:p>
    <w:p w14:paraId="2AD9007F" w14:textId="5E7B99D5" w:rsidR="003F1496" w:rsidRPr="003474BD" w:rsidRDefault="003F1496" w:rsidP="00A42091">
      <w:pPr>
        <w:pStyle w:val="Heading3"/>
        <w:suppressAutoHyphens/>
        <w:spacing w:before="120" w:after="120" w:line="312" w:lineRule="auto"/>
        <w:rPr>
          <w:rFonts w:ascii="Times New Roman" w:hAnsi="Times New Roman"/>
          <w:sz w:val="24"/>
          <w:szCs w:val="24"/>
        </w:rPr>
      </w:pPr>
      <w:bookmarkStart w:id="56" w:name="_Toc106285933"/>
      <w:bookmarkStart w:id="57" w:name="_Toc166258048"/>
      <w:r w:rsidRPr="003474BD">
        <w:rPr>
          <w:rFonts w:ascii="Times New Roman" w:hAnsi="Times New Roman"/>
          <w:sz w:val="24"/>
          <w:szCs w:val="24"/>
        </w:rPr>
        <w:t>1</w:t>
      </w:r>
      <w:r w:rsidR="007A3227" w:rsidRPr="003474BD">
        <w:rPr>
          <w:rFonts w:ascii="Times New Roman" w:hAnsi="Times New Roman"/>
          <w:sz w:val="24"/>
          <w:szCs w:val="24"/>
        </w:rPr>
        <w:t>3</w:t>
      </w:r>
      <w:r w:rsidRPr="003474BD">
        <w:rPr>
          <w:rFonts w:ascii="Times New Roman" w:hAnsi="Times New Roman"/>
          <w:sz w:val="24"/>
          <w:szCs w:val="24"/>
        </w:rPr>
        <w:t>.2. Недопустими дейности</w:t>
      </w:r>
      <w:bookmarkEnd w:id="56"/>
      <w:bookmarkEnd w:id="57"/>
    </w:p>
    <w:p w14:paraId="61F4CF18"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 xml:space="preserve">Недопустими по процедурата са следните видове дейности: </w:t>
      </w:r>
    </w:p>
    <w:p w14:paraId="07B9A616" w14:textId="4C05A534" w:rsidR="003F1496" w:rsidRPr="003474BD" w:rsidRDefault="003F1496" w:rsidP="00A42091">
      <w:pPr>
        <w:numPr>
          <w:ilvl w:val="1"/>
          <w:numId w:val="10"/>
        </w:numPr>
        <w:suppressAutoHyphens/>
        <w:spacing w:before="120" w:after="120" w:line="312" w:lineRule="auto"/>
        <w:ind w:left="709" w:hanging="425"/>
        <w:jc w:val="both"/>
        <w:rPr>
          <w:color w:val="000000" w:themeColor="text1"/>
        </w:rPr>
      </w:pPr>
      <w:r w:rsidRPr="003474BD">
        <w:rPr>
          <w:color w:val="000000" w:themeColor="text1"/>
        </w:rPr>
        <w:t xml:space="preserve">дейности, </w:t>
      </w:r>
      <w:r w:rsidR="00886F1C" w:rsidRPr="003474BD">
        <w:rPr>
          <w:color w:val="000000" w:themeColor="text1"/>
        </w:rPr>
        <w:t xml:space="preserve">който не отговарят на условията за </w:t>
      </w:r>
      <w:r w:rsidR="009D4481" w:rsidRPr="003474BD">
        <w:rPr>
          <w:color w:val="000000" w:themeColor="text1"/>
        </w:rPr>
        <w:t>"нов използваем енергиен капацитет за съхранение на електроенергия"</w:t>
      </w:r>
      <w:r w:rsidR="00AA52DF" w:rsidRPr="003474BD">
        <w:rPr>
          <w:color w:val="000000" w:themeColor="text1"/>
        </w:rPr>
        <w:t xml:space="preserve"> съгласно т. 13.1, I, 4) по-горе</w:t>
      </w:r>
      <w:r w:rsidRPr="003474BD">
        <w:rPr>
          <w:color w:val="000000" w:themeColor="text1"/>
        </w:rPr>
        <w:t>;</w:t>
      </w:r>
    </w:p>
    <w:p w14:paraId="6B626B3F" w14:textId="4BACB47E"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дейности, извършени след изтичане на крайния срок за изпълнение на дейностите по</w:t>
      </w:r>
      <w:r w:rsidR="00730FA5" w:rsidRPr="003474BD">
        <w:rPr>
          <w:color w:val="000000" w:themeColor="text1"/>
        </w:rPr>
        <w:t xml:space="preserve"> </w:t>
      </w:r>
      <w:r w:rsidRPr="003474BD">
        <w:rPr>
          <w:color w:val="000000" w:themeColor="text1"/>
        </w:rPr>
        <w:t>предложението за изпълнение на инвестиция;</w:t>
      </w:r>
    </w:p>
    <w:p w14:paraId="39B92E86" w14:textId="7C740117"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lastRenderedPageBreak/>
        <w:t>дейности, които вече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които водят до надхвърляне на най-високия размер или интензитет на помощта, приложим за тази помощ</w:t>
      </w:r>
      <w:bookmarkStart w:id="58" w:name="_Hlk169266512"/>
      <w:r w:rsidR="004E64AF" w:rsidRPr="003474BD">
        <w:rPr>
          <w:color w:val="000000" w:themeColor="text1"/>
        </w:rPr>
        <w:t xml:space="preserve">, както и дейности за проекти, който са били финансирани по </w:t>
      </w:r>
      <w:bookmarkStart w:id="59" w:name="_Hlk169274691"/>
      <w:r w:rsidR="004E64AF" w:rsidRPr="003474BD">
        <w:rPr>
          <w:color w:val="000000" w:themeColor="text1"/>
        </w:rPr>
        <w:t>BG-RRP - 4.032 "Подкрепа за нови мощности за производство на електроенергия от възобновяеми източници и съхранение на електроенергия над 200 kW</w:t>
      </w:r>
      <w:bookmarkEnd w:id="59"/>
      <w:r w:rsidR="00F40221" w:rsidRPr="003474BD">
        <w:rPr>
          <w:color w:val="000000" w:themeColor="text1"/>
        </w:rPr>
        <w:t>;</w:t>
      </w:r>
      <w:bookmarkEnd w:id="58"/>
    </w:p>
    <w:p w14:paraId="103A8E0B" w14:textId="41F883EB"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дейности, за които не са заявени разходи в бюджета на предложението за изпълнение на инвестиция;</w:t>
      </w:r>
    </w:p>
    <w:p w14:paraId="3167FACA" w14:textId="6E18A828" w:rsidR="00F96C83" w:rsidRPr="003474BD" w:rsidRDefault="00730FA5" w:rsidP="00A42091">
      <w:pPr>
        <w:numPr>
          <w:ilvl w:val="0"/>
          <w:numId w:val="10"/>
        </w:numPr>
        <w:suppressAutoHyphens/>
        <w:spacing w:before="120" w:after="120" w:line="312" w:lineRule="auto"/>
        <w:jc w:val="both"/>
        <w:rPr>
          <w:color w:val="000000" w:themeColor="text1"/>
        </w:rPr>
      </w:pPr>
      <w:r w:rsidRPr="003474BD">
        <w:rPr>
          <w:color w:val="000000" w:themeColor="text1"/>
        </w:rPr>
        <w:t>с</w:t>
      </w:r>
      <w:r w:rsidR="00F96C83" w:rsidRPr="003474BD">
        <w:rPr>
          <w:color w:val="000000" w:themeColor="text1"/>
        </w:rPr>
        <w:t xml:space="preserve"> цел гарантиране в максимална степен спазването на принципа за </w:t>
      </w:r>
      <w:r w:rsidR="00DC5756" w:rsidRPr="003474BD">
        <w:rPr>
          <w:color w:val="000000" w:themeColor="text1"/>
        </w:rPr>
        <w:t>"</w:t>
      </w:r>
      <w:r w:rsidR="00F96C83" w:rsidRPr="003474BD">
        <w:rPr>
          <w:color w:val="000000" w:themeColor="text1"/>
        </w:rPr>
        <w:t>ненанасяне на значителни вреди</w:t>
      </w:r>
      <w:r w:rsidR="00DC5756" w:rsidRPr="003474BD">
        <w:rPr>
          <w:color w:val="000000" w:themeColor="text1"/>
        </w:rPr>
        <w:t>"</w:t>
      </w:r>
      <w:r w:rsidR="00F96C83" w:rsidRPr="003474BD">
        <w:rPr>
          <w:color w:val="000000" w:themeColor="text1"/>
        </w:rPr>
        <w:t xml:space="preserve"> , по процедурата няма да се подкрепят: </w:t>
      </w:r>
    </w:p>
    <w:p w14:paraId="7D0CD319" w14:textId="67C99E1A" w:rsidR="00F96C83" w:rsidRPr="003474BD" w:rsidRDefault="00F96C83" w:rsidP="00244C88">
      <w:pPr>
        <w:suppressAutoHyphens/>
        <w:spacing w:before="120" w:after="120" w:line="312" w:lineRule="auto"/>
        <w:ind w:left="720"/>
        <w:jc w:val="both"/>
        <w:rPr>
          <w:color w:val="000000" w:themeColor="text1"/>
        </w:rPr>
      </w:pPr>
      <w:r w:rsidRPr="003474BD">
        <w:rPr>
          <w:color w:val="000000" w:themeColor="text1"/>
        </w:rPr>
        <w:t>i) дейностите и активите, свързани с изкопаеми горива, включително използване надолу по веригата</w:t>
      </w:r>
      <w:r w:rsidR="00244C88" w:rsidRPr="003474BD">
        <w:rPr>
          <w:color w:val="000000" w:themeColor="text1"/>
        </w:rPr>
        <w:t>. 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определени в Приложение III към техническите насоки „Ненанасяне на значителни вреди” (2021/C58/01)</w:t>
      </w:r>
      <w:r w:rsidRPr="003474BD">
        <w:rPr>
          <w:color w:val="000000" w:themeColor="text1"/>
        </w:rPr>
        <w:t xml:space="preserve">; </w:t>
      </w:r>
    </w:p>
    <w:p w14:paraId="700B5D5E" w14:textId="733C6FD3" w:rsidR="00F96C83" w:rsidRPr="003474BD" w:rsidRDefault="00F96C83" w:rsidP="00A42091">
      <w:pPr>
        <w:suppressAutoHyphens/>
        <w:spacing w:before="120" w:after="120" w:line="312" w:lineRule="auto"/>
        <w:ind w:left="720"/>
        <w:jc w:val="both"/>
        <w:rPr>
          <w:color w:val="000000" w:themeColor="text1"/>
        </w:rPr>
      </w:pPr>
      <w:r w:rsidRPr="003474BD">
        <w:rPr>
          <w:color w:val="000000" w:themeColor="text1"/>
        </w:rPr>
        <w:t>ii) д</w:t>
      </w:r>
      <w:r w:rsidR="00244C88" w:rsidRPr="003474BD">
        <w:rPr>
          <w:color w:val="000000" w:themeColor="text1"/>
        </w:rPr>
        <w:t xml:space="preserve">ейности и активи в рамките на Системата на ЕС за търговия с емисии (СТЕ), с които се постигат прогнозни емисии на парникови газове, не по-ниски от съответните референтни стойности определени в </w:t>
      </w:r>
      <w:r w:rsidR="00B360F6" w:rsidRPr="003474BD">
        <w:rPr>
          <w:color w:val="000000" w:themeColor="text1"/>
        </w:rPr>
        <w:t xml:space="preserve">Решение </w:t>
      </w:r>
      <w:r w:rsidR="003618FD" w:rsidRPr="003474BD">
        <w:rPr>
          <w:color w:val="000000" w:themeColor="text1"/>
        </w:rPr>
        <w:t>(</w:t>
      </w:r>
      <w:r w:rsidR="00B360F6" w:rsidRPr="003474BD">
        <w:rPr>
          <w:color w:val="000000" w:themeColor="text1"/>
        </w:rPr>
        <w:t>ЕС</w:t>
      </w:r>
      <w:r w:rsidR="003618FD" w:rsidRPr="003474BD">
        <w:rPr>
          <w:color w:val="000000" w:themeColor="text1"/>
        </w:rPr>
        <w:t>) 2021/447</w:t>
      </w:r>
      <w:r w:rsidRPr="003474BD">
        <w:rPr>
          <w:color w:val="000000" w:themeColor="text1"/>
        </w:rPr>
        <w:t>;</w:t>
      </w:r>
    </w:p>
    <w:p w14:paraId="46ECE120" w14:textId="3ACFBB82" w:rsidR="003618FD" w:rsidRPr="003474BD" w:rsidRDefault="00F96C83" w:rsidP="003618FD">
      <w:pPr>
        <w:suppressAutoHyphens/>
        <w:spacing w:before="120" w:after="120" w:line="312" w:lineRule="auto"/>
        <w:ind w:left="720"/>
        <w:jc w:val="both"/>
        <w:rPr>
          <w:color w:val="000000" w:themeColor="text1"/>
        </w:rPr>
      </w:pPr>
      <w:r w:rsidRPr="003474BD">
        <w:rPr>
          <w:color w:val="000000" w:themeColor="text1"/>
        </w:rPr>
        <w:t>iii) дейностите и активите, свързани със сметища, инсталации за изгаряне на отпадъци и заводи за механично-биологично третиране</w:t>
      </w:r>
      <w:r w:rsidR="00B360F6" w:rsidRPr="003474BD">
        <w:rPr>
          <w:color w:val="000000" w:themeColor="text1"/>
        </w:rPr>
        <w:t>. Това изключение не се прилага за инвестиции в:</w:t>
      </w:r>
      <w:r w:rsidR="003618FD" w:rsidRPr="003474BD">
        <w:rPr>
          <w:color w:val="000000" w:themeColor="text1"/>
        </w:rPr>
        <w:t xml:space="preserve"> </w:t>
      </w:r>
    </w:p>
    <w:p w14:paraId="08855CB3" w14:textId="1D30E743" w:rsidR="003618FD" w:rsidRPr="003474BD" w:rsidRDefault="00587160" w:rsidP="003618FD">
      <w:pPr>
        <w:suppressAutoHyphens/>
        <w:spacing w:before="120" w:after="120" w:line="312" w:lineRule="auto"/>
        <w:ind w:left="720"/>
        <w:jc w:val="both"/>
        <w:rPr>
          <w:color w:val="000000" w:themeColor="text1"/>
        </w:rPr>
      </w:pPr>
      <w:r w:rsidRPr="003474BD">
        <w:rPr>
          <w:rFonts w:ascii="Cambria Math" w:hAnsi="Cambria Math" w:cs="Cambria Math"/>
          <w:color w:val="000000" w:themeColor="text1"/>
        </w:rPr>
        <w:t>-</w:t>
      </w:r>
      <w:r w:rsidR="003618FD" w:rsidRPr="003474BD">
        <w:rPr>
          <w:color w:val="000000" w:themeColor="text1"/>
        </w:rPr>
        <w:tab/>
      </w:r>
      <w:r w:rsidRPr="003474BD">
        <w:t>инсталации, предназначени изключително за третиране на опасни отпадъци, които не подлежат на рециклиране</w:t>
      </w:r>
      <w:r w:rsidR="003618FD" w:rsidRPr="003474BD">
        <w:rPr>
          <w:color w:val="000000" w:themeColor="text1"/>
        </w:rPr>
        <w:t xml:space="preserve">; </w:t>
      </w:r>
    </w:p>
    <w:p w14:paraId="7F41EADB" w14:textId="22E597BC" w:rsidR="003618FD" w:rsidRPr="003474BD" w:rsidRDefault="00587160" w:rsidP="003618FD">
      <w:pPr>
        <w:suppressAutoHyphens/>
        <w:spacing w:before="120" w:after="120" w:line="312" w:lineRule="auto"/>
        <w:ind w:left="720"/>
        <w:jc w:val="both"/>
        <w:rPr>
          <w:color w:val="000000" w:themeColor="text1"/>
        </w:rPr>
      </w:pPr>
      <w:r w:rsidRPr="003474BD">
        <w:rPr>
          <w:rFonts w:ascii="Cambria Math" w:hAnsi="Cambria Math" w:cs="Cambria Math"/>
          <w:color w:val="000000" w:themeColor="text1"/>
        </w:rPr>
        <w:t>-</w:t>
      </w:r>
      <w:r w:rsidR="003618FD" w:rsidRPr="003474BD">
        <w:rPr>
          <w:color w:val="000000" w:themeColor="text1"/>
        </w:rPr>
        <w:tab/>
      </w:r>
      <w:r w:rsidRPr="003474BD">
        <w:rPr>
          <w:color w:val="000000" w:themeColor="text1"/>
        </w:rPr>
        <w:t>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w:t>
      </w:r>
      <w:r w:rsidR="003618FD" w:rsidRPr="003474BD">
        <w:rPr>
          <w:color w:val="000000" w:themeColor="text1"/>
        </w:rPr>
        <w:t>;</w:t>
      </w:r>
    </w:p>
    <w:p w14:paraId="7F09BF94" w14:textId="0ABDDBF1" w:rsidR="00F96C83" w:rsidRPr="003474BD" w:rsidRDefault="00587160" w:rsidP="003618FD">
      <w:pPr>
        <w:suppressAutoHyphens/>
        <w:spacing w:before="120" w:after="120" w:line="312" w:lineRule="auto"/>
        <w:ind w:left="720"/>
        <w:jc w:val="both"/>
        <w:rPr>
          <w:color w:val="000000" w:themeColor="text1"/>
        </w:rPr>
      </w:pPr>
      <w:r w:rsidRPr="003474BD">
        <w:rPr>
          <w:rFonts w:ascii="Cambria Math" w:hAnsi="Cambria Math" w:cs="Cambria Math"/>
          <w:color w:val="000000" w:themeColor="text1"/>
        </w:rPr>
        <w:t>-</w:t>
      </w:r>
      <w:r w:rsidR="003618FD" w:rsidRPr="003474BD">
        <w:rPr>
          <w:color w:val="000000" w:themeColor="text1"/>
        </w:rPr>
        <w:tab/>
      </w:r>
      <w:r w:rsidRPr="003474BD">
        <w:rPr>
          <w:color w:val="000000" w:themeColor="text1"/>
        </w:rPr>
        <w:t xml:space="preserve">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w:t>
      </w:r>
      <w:r w:rsidRPr="003474BD">
        <w:rPr>
          <w:color w:val="000000" w:themeColor="text1"/>
        </w:rPr>
        <w:lastRenderedPageBreak/>
        <w:t>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w:t>
      </w:r>
      <w:r w:rsidR="00F96C83" w:rsidRPr="003474BD">
        <w:rPr>
          <w:color w:val="000000" w:themeColor="text1"/>
        </w:rPr>
        <w:t>;</w:t>
      </w:r>
    </w:p>
    <w:p w14:paraId="34078847" w14:textId="77777777" w:rsidR="00F96C83" w:rsidRPr="003474BD" w:rsidRDefault="00F96C83" w:rsidP="00A42091">
      <w:pPr>
        <w:suppressAutoHyphens/>
        <w:spacing w:before="120" w:after="120" w:line="312" w:lineRule="auto"/>
        <w:ind w:left="720"/>
        <w:jc w:val="both"/>
        <w:rPr>
          <w:color w:val="000000" w:themeColor="text1"/>
        </w:rPr>
      </w:pPr>
      <w:r w:rsidRPr="003474BD">
        <w:rPr>
          <w:color w:val="000000" w:themeColor="text1"/>
        </w:rPr>
        <w:t>iv) дейностите и активите, при които дългосрочното обезвреждане на отпадъци може да причини вреда на околната среда.</w:t>
      </w:r>
    </w:p>
    <w:p w14:paraId="2003DAD8" w14:textId="124A8436"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дейности, които не съблюдават съответното законодателство на ЕС и национално законодателство в областта на околната среда;</w:t>
      </w:r>
    </w:p>
    <w:p w14:paraId="4EEF5C25" w14:textId="2B905503"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дейности за закупуване на активи втора употреба;</w:t>
      </w:r>
    </w:p>
    <w:p w14:paraId="4FAEE2D0" w14:textId="41895F03"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дейности, свързани с наемането на активи;</w:t>
      </w:r>
    </w:p>
    <w:p w14:paraId="03402A92" w14:textId="0037F32C"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закупуване и/или доставка на ресурси, имащи характер на стоково-материални запаси (суровини, материали, полуобработени компоненти, консумативи, резервни части);</w:t>
      </w:r>
    </w:p>
    <w:p w14:paraId="4FADD0D2" w14:textId="3B95260F"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 xml:space="preserve">закупуване или наемане на транспортни средства и съоръжения; </w:t>
      </w:r>
    </w:p>
    <w:p w14:paraId="5A30E174" w14:textId="2D8632B4"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закупуване на земя и сгради;</w:t>
      </w:r>
    </w:p>
    <w:p w14:paraId="204615D4" w14:textId="7D789C0C"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дейности за придобиване на активи, които не са пряко свързани и необходими за изграждането на съоръжения</w:t>
      </w:r>
      <w:r w:rsidR="00730FA5" w:rsidRPr="003474BD">
        <w:rPr>
          <w:color w:val="000000" w:themeColor="text1"/>
        </w:rPr>
        <w:t>та</w:t>
      </w:r>
      <w:r w:rsidRPr="003474BD">
        <w:rPr>
          <w:color w:val="000000" w:themeColor="text1"/>
        </w:rPr>
        <w:t xml:space="preserve"> за съхранение на </w:t>
      </w:r>
      <w:r w:rsidR="009D4481" w:rsidRPr="003474BD">
        <w:rPr>
          <w:color w:val="000000" w:themeColor="text1"/>
        </w:rPr>
        <w:t xml:space="preserve">електрическа енергия </w:t>
      </w:r>
      <w:r w:rsidRPr="003474BD">
        <w:rPr>
          <w:color w:val="000000" w:themeColor="text1"/>
        </w:rPr>
        <w:t>;</w:t>
      </w:r>
    </w:p>
    <w:p w14:paraId="57C098DA" w14:textId="1D85B738"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дейности, свързани с изградените по настоящата инвестиция съоръжения, след като същите са започнали вече своята работа (включително разходи по поддръжка и замяната на малки части и компоненти на енергийното съоръжение, които обикновено се извършват по време на очаквания жизнен цикъл на инсталацията);</w:t>
      </w:r>
    </w:p>
    <w:p w14:paraId="3D6575AE" w14:textId="34AC10E7" w:rsidR="00F96C83"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дейности, които не са пряко свързани с постигането на по-високото равнище на опазване на околната среда;</w:t>
      </w:r>
    </w:p>
    <w:p w14:paraId="683D5FA5" w14:textId="170779FD" w:rsidR="003F1496" w:rsidRPr="003474BD" w:rsidRDefault="00F96C83" w:rsidP="00A42091">
      <w:pPr>
        <w:numPr>
          <w:ilvl w:val="0"/>
          <w:numId w:val="10"/>
        </w:numPr>
        <w:suppressAutoHyphens/>
        <w:spacing w:before="120" w:after="120" w:line="312" w:lineRule="auto"/>
        <w:jc w:val="both"/>
        <w:rPr>
          <w:color w:val="000000" w:themeColor="text1"/>
        </w:rPr>
      </w:pPr>
      <w:r w:rsidRPr="003474BD">
        <w:rPr>
          <w:color w:val="000000" w:themeColor="text1"/>
        </w:rPr>
        <w:t>всички други дейности, които не са сред посочените като допустими в настоящите Условия за кандидатстване.</w:t>
      </w:r>
    </w:p>
    <w:p w14:paraId="158B3847" w14:textId="38DB6262" w:rsidR="003F1496" w:rsidRPr="003474BD" w:rsidRDefault="003F1496" w:rsidP="00A42091">
      <w:pPr>
        <w:pStyle w:val="Heading2"/>
        <w:suppressAutoHyphens/>
        <w:spacing w:after="120" w:line="312" w:lineRule="auto"/>
        <w:rPr>
          <w:rFonts w:ascii="Times New Roman" w:hAnsi="Times New Roman"/>
          <w:sz w:val="24"/>
          <w:szCs w:val="24"/>
        </w:rPr>
      </w:pPr>
      <w:bookmarkStart w:id="60" w:name="_Toc106285934"/>
      <w:bookmarkStart w:id="61" w:name="_Toc166258049"/>
      <w:r w:rsidRPr="003474BD">
        <w:rPr>
          <w:rFonts w:ascii="Times New Roman" w:hAnsi="Times New Roman"/>
          <w:sz w:val="24"/>
          <w:szCs w:val="24"/>
        </w:rPr>
        <w:t>1</w:t>
      </w:r>
      <w:r w:rsidR="007A3227" w:rsidRPr="003474BD">
        <w:rPr>
          <w:rFonts w:ascii="Times New Roman" w:hAnsi="Times New Roman"/>
          <w:sz w:val="24"/>
          <w:szCs w:val="24"/>
        </w:rPr>
        <w:t>4</w:t>
      </w:r>
      <w:r w:rsidRPr="003474BD">
        <w:rPr>
          <w:rFonts w:ascii="Times New Roman" w:hAnsi="Times New Roman"/>
          <w:sz w:val="24"/>
          <w:szCs w:val="24"/>
        </w:rPr>
        <w:t>. Категории разходи, допустими за финансиране:</w:t>
      </w:r>
      <w:bookmarkEnd w:id="60"/>
      <w:bookmarkEnd w:id="61"/>
    </w:p>
    <w:p w14:paraId="18FAAE86" w14:textId="3C4498CA" w:rsidR="003F1496" w:rsidRPr="003474BD" w:rsidRDefault="003F1496" w:rsidP="00A42091">
      <w:pPr>
        <w:suppressAutoHyphens/>
        <w:spacing w:before="120" w:after="120" w:line="312" w:lineRule="auto"/>
        <w:jc w:val="both"/>
        <w:rPr>
          <w:color w:val="000000" w:themeColor="text1"/>
        </w:rPr>
      </w:pPr>
      <w:r w:rsidRPr="003474BD">
        <w:rPr>
          <w:color w:val="000000" w:themeColor="text1"/>
        </w:rPr>
        <w:t xml:space="preserve">При предоставяне на безвъзмездно финансиране по настоящата процедура ще бъдат взети под внимание само </w:t>
      </w:r>
      <w:r w:rsidR="00DC5756" w:rsidRPr="003474BD">
        <w:rPr>
          <w:color w:val="000000" w:themeColor="text1"/>
        </w:rPr>
        <w:t>"</w:t>
      </w:r>
      <w:r w:rsidRPr="003474BD">
        <w:rPr>
          <w:color w:val="000000" w:themeColor="text1"/>
        </w:rPr>
        <w:t>допустимите разходи</w:t>
      </w:r>
      <w:r w:rsidR="00DC5756" w:rsidRPr="003474BD">
        <w:rPr>
          <w:color w:val="000000" w:themeColor="text1"/>
        </w:rPr>
        <w:t>"</w:t>
      </w:r>
      <w:r w:rsidRPr="003474BD">
        <w:rPr>
          <w:color w:val="000000" w:themeColor="text1"/>
        </w:rPr>
        <w:t xml:space="preserve">, детайлно описани по-долу. Бюджетът представлява предварителна оценка на очакваните разходи и максимален размер на допустимите разходи. </w:t>
      </w:r>
    </w:p>
    <w:p w14:paraId="6405FD08"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lastRenderedPageBreak/>
        <w:t xml:space="preserve">По време на оценката на предложенията за изпълнение на инвестиция е възможно да бъдат установени обстоятелства, които да налагат промяна в бюджета. Възможните изменения на бюджета </w:t>
      </w:r>
      <w:r w:rsidRPr="003474BD">
        <w:rPr>
          <w:b/>
          <w:color w:val="000000" w:themeColor="text1"/>
        </w:rPr>
        <w:t>не могат</w:t>
      </w:r>
      <w:r w:rsidRPr="003474BD">
        <w:rPr>
          <w:color w:val="000000" w:themeColor="text1"/>
        </w:rPr>
        <w:t xml:space="preserve"> да доведат до увеличаване на сумата на исканото безвъзмездно финансиране по настоящата процедура.</w:t>
      </w:r>
    </w:p>
    <w:p w14:paraId="54C8F824" w14:textId="2A908475" w:rsidR="003F1496" w:rsidRPr="003474BD" w:rsidRDefault="003F1496"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b/>
          <w:color w:val="000000" w:themeColor="text1"/>
        </w:rPr>
      </w:pPr>
      <w:r w:rsidRPr="003474BD">
        <w:rPr>
          <w:b/>
          <w:color w:val="000000" w:themeColor="text1"/>
        </w:rPr>
        <w:t>ВАЖНО:</w:t>
      </w:r>
      <w:r w:rsidRPr="003474BD">
        <w:rPr>
          <w:color w:val="000000" w:themeColor="text1"/>
        </w:rPr>
        <w:t xml:space="preserve"> </w:t>
      </w:r>
      <w:r w:rsidR="00A92E00" w:rsidRPr="003474BD">
        <w:rPr>
          <w:color w:val="000000" w:themeColor="text1"/>
        </w:rPr>
        <w:t xml:space="preserve">Предоставянето на средства по Механизма не може да има за цел или резултат реализирането на печалба по смисъла на чл. 192, т. 2 от Регламент (ЕЦ) 2018/1046 </w:t>
      </w:r>
      <w:r w:rsidRPr="003474BD">
        <w:rPr>
          <w:rStyle w:val="FootnoteReference"/>
          <w:color w:val="000000" w:themeColor="text1"/>
        </w:rPr>
        <w:footnoteReference w:id="17"/>
      </w:r>
      <w:r w:rsidRPr="003474BD">
        <w:rPr>
          <w:color w:val="000000" w:themeColor="text1"/>
        </w:rPr>
        <w:t>.</w:t>
      </w:r>
    </w:p>
    <w:p w14:paraId="3CE46DEC" w14:textId="427EE9B3" w:rsidR="003F1496" w:rsidRPr="003474BD" w:rsidRDefault="003F1496" w:rsidP="00A42091">
      <w:pPr>
        <w:pStyle w:val="Heading3"/>
        <w:suppressAutoHyphens/>
        <w:spacing w:before="120" w:after="120" w:line="312" w:lineRule="auto"/>
        <w:rPr>
          <w:rFonts w:ascii="Times New Roman" w:hAnsi="Times New Roman"/>
          <w:sz w:val="24"/>
          <w:szCs w:val="24"/>
        </w:rPr>
      </w:pPr>
      <w:bookmarkStart w:id="62" w:name="_Toc106285935"/>
      <w:bookmarkStart w:id="63" w:name="_Toc166258050"/>
      <w:r w:rsidRPr="003474BD">
        <w:rPr>
          <w:rFonts w:ascii="Times New Roman" w:hAnsi="Times New Roman"/>
          <w:sz w:val="24"/>
          <w:szCs w:val="24"/>
        </w:rPr>
        <w:t>1</w:t>
      </w:r>
      <w:r w:rsidR="007A3227" w:rsidRPr="003474BD">
        <w:rPr>
          <w:rFonts w:ascii="Times New Roman" w:hAnsi="Times New Roman"/>
          <w:sz w:val="24"/>
          <w:szCs w:val="24"/>
        </w:rPr>
        <w:t>4</w:t>
      </w:r>
      <w:r w:rsidRPr="003474BD">
        <w:rPr>
          <w:rFonts w:ascii="Times New Roman" w:hAnsi="Times New Roman"/>
          <w:sz w:val="24"/>
          <w:szCs w:val="24"/>
        </w:rPr>
        <w:t>.1. Условия за допустимост на разходите</w:t>
      </w:r>
      <w:bookmarkEnd w:id="62"/>
      <w:bookmarkEnd w:id="63"/>
    </w:p>
    <w:p w14:paraId="2259BF58" w14:textId="77777777" w:rsidR="003F1496" w:rsidRPr="003474BD" w:rsidRDefault="003F1496" w:rsidP="005B3926">
      <w:pPr>
        <w:suppressAutoHyphens/>
        <w:spacing w:line="312" w:lineRule="auto"/>
        <w:jc w:val="both"/>
        <w:rPr>
          <w:color w:val="000000" w:themeColor="text1"/>
        </w:rPr>
      </w:pPr>
      <w:r w:rsidRPr="003474BD">
        <w:rPr>
          <w:color w:val="000000" w:themeColor="text1"/>
        </w:rPr>
        <w:t>За да бъдат допустими разходите по настоящата процедура за предоставяне на средства трябва да отговарят на следните условия:</w:t>
      </w:r>
    </w:p>
    <w:p w14:paraId="680E46D1" w14:textId="77777777" w:rsidR="003F1496" w:rsidRPr="003474BD" w:rsidRDefault="003F1496" w:rsidP="005B3926">
      <w:pPr>
        <w:suppressAutoHyphens/>
        <w:spacing w:line="312" w:lineRule="auto"/>
        <w:jc w:val="both"/>
        <w:rPr>
          <w:color w:val="000000" w:themeColor="text1"/>
        </w:rPr>
      </w:pPr>
      <w:r w:rsidRPr="003474BD">
        <w:rPr>
          <w:b/>
          <w:color w:val="000000" w:themeColor="text1"/>
        </w:rPr>
        <w:t>1)</w:t>
      </w:r>
      <w:r w:rsidRPr="003474BD">
        <w:rPr>
          <w:color w:val="000000" w:themeColor="text1"/>
        </w:rPr>
        <w:t xml:space="preserve"> Да са необходими за изпълнението на предложението за изпълнение на инвестиция и да са приемливи, обосновани и да отговарят на принципа на добро финансово управление, по-специално от гледна точка на икономичността и ефикасността. </w:t>
      </w:r>
    </w:p>
    <w:p w14:paraId="037A17D7" w14:textId="3AA8A347" w:rsidR="003F1496" w:rsidRPr="003474BD" w:rsidRDefault="003F1496" w:rsidP="005B3926">
      <w:pPr>
        <w:suppressAutoHyphens/>
        <w:spacing w:line="312" w:lineRule="auto"/>
        <w:jc w:val="both"/>
        <w:rPr>
          <w:color w:val="000000" w:themeColor="text1"/>
        </w:rPr>
      </w:pPr>
      <w:r w:rsidRPr="003474BD">
        <w:rPr>
          <w:b/>
          <w:color w:val="000000" w:themeColor="text1"/>
        </w:rPr>
        <w:t xml:space="preserve">2) </w:t>
      </w:r>
      <w:r w:rsidR="00F96D83" w:rsidRPr="003474BD">
        <w:rPr>
          <w:color w:val="000000" w:themeColor="text1"/>
        </w:rPr>
        <w:t xml:space="preserve">Да бъдат </w:t>
      </w:r>
      <w:r w:rsidR="00F96D83" w:rsidRPr="00641648">
        <w:rPr>
          <w:color w:val="000000" w:themeColor="text1"/>
        </w:rPr>
        <w:t xml:space="preserve">извършени </w:t>
      </w:r>
      <w:r w:rsidR="0019208A" w:rsidRPr="00641648">
        <w:rPr>
          <w:color w:val="000000" w:themeColor="text1"/>
        </w:rPr>
        <w:t xml:space="preserve">в периода </w:t>
      </w:r>
      <w:r w:rsidR="00E54E73" w:rsidRPr="00A04518">
        <w:rPr>
          <w:color w:val="000000" w:themeColor="text1"/>
        </w:rPr>
        <w:t>от</w:t>
      </w:r>
      <w:r w:rsidR="00F96D83" w:rsidRPr="00A04518">
        <w:rPr>
          <w:color w:val="000000" w:themeColor="text1"/>
        </w:rPr>
        <w:t xml:space="preserve"> </w:t>
      </w:r>
      <w:r w:rsidR="00167873" w:rsidRPr="00A04518">
        <w:rPr>
          <w:color w:val="000000" w:themeColor="text1"/>
        </w:rPr>
        <w:t xml:space="preserve">9 март 2023 г. </w:t>
      </w:r>
      <w:r w:rsidR="00F96D83" w:rsidRPr="00641648">
        <w:rPr>
          <w:color w:val="000000" w:themeColor="text1"/>
        </w:rPr>
        <w:t>до определения в представения план за изпълнение на предложението срок, но не по-късно</w:t>
      </w:r>
      <w:r w:rsidR="00F96D83" w:rsidRPr="003474BD">
        <w:rPr>
          <w:color w:val="000000" w:themeColor="text1"/>
        </w:rPr>
        <w:t xml:space="preserve"> 31 март 2026 г</w:t>
      </w:r>
      <w:r w:rsidRPr="003474BD">
        <w:rPr>
          <w:color w:val="000000" w:themeColor="text1"/>
        </w:rPr>
        <w:t>.</w:t>
      </w:r>
    </w:p>
    <w:p w14:paraId="7DF13CD6" w14:textId="41AD7BD5" w:rsidR="003F1496" w:rsidRPr="003474BD" w:rsidRDefault="003F1496" w:rsidP="005B3926">
      <w:pPr>
        <w:suppressAutoHyphens/>
        <w:spacing w:line="312" w:lineRule="auto"/>
        <w:jc w:val="both"/>
        <w:rPr>
          <w:color w:val="000000" w:themeColor="text1"/>
        </w:rPr>
      </w:pPr>
      <w:r w:rsidRPr="003474BD">
        <w:rPr>
          <w:color w:val="000000" w:themeColor="text1"/>
        </w:rPr>
        <w:t xml:space="preserve">Разходооправдателните документи следва да бъдат издадени в периода на допустимост на разходите по процедурата. </w:t>
      </w:r>
    </w:p>
    <w:p w14:paraId="2AB7E49D" w14:textId="77777777" w:rsidR="003F1496" w:rsidRPr="003474BD" w:rsidRDefault="003F1496" w:rsidP="005B3926">
      <w:pPr>
        <w:suppressAutoHyphens/>
        <w:spacing w:line="312" w:lineRule="auto"/>
        <w:jc w:val="both"/>
        <w:rPr>
          <w:color w:val="000000" w:themeColor="text1"/>
        </w:rPr>
      </w:pPr>
      <w:r w:rsidRPr="003474BD">
        <w:rPr>
          <w:b/>
          <w:color w:val="000000" w:themeColor="text1"/>
        </w:rPr>
        <w:t xml:space="preserve">3) </w:t>
      </w:r>
      <w:r w:rsidRPr="003474BD">
        <w:rPr>
          <w:color w:val="000000" w:themeColor="text1"/>
        </w:rPr>
        <w:t>Да са в съответствие с видовете разходи, включени в договора за финансиране с крайния получател.</w:t>
      </w:r>
    </w:p>
    <w:p w14:paraId="6BCA3313" w14:textId="1D3A8A94" w:rsidR="003F1496" w:rsidRPr="003474BD" w:rsidRDefault="003F1496" w:rsidP="005B3926">
      <w:pPr>
        <w:suppressAutoHyphens/>
        <w:spacing w:line="312" w:lineRule="auto"/>
        <w:jc w:val="both"/>
        <w:rPr>
          <w:b/>
          <w:i/>
          <w:color w:val="000000" w:themeColor="text1"/>
        </w:rPr>
      </w:pPr>
      <w:r w:rsidRPr="003474BD">
        <w:rPr>
          <w:b/>
          <w:color w:val="000000" w:themeColor="text1"/>
        </w:rPr>
        <w:t>4)</w:t>
      </w:r>
      <w:r w:rsidRPr="003474BD">
        <w:rPr>
          <w:color w:val="000000" w:themeColor="text1"/>
        </w:rPr>
        <w:t xml:space="preserve"> Да са действително платени от страна на крайния получател (т.е. да е платена цялата стойност на представените фактури или други първични счетоводни документи, включително стойността на ДДС), по банков път, </w:t>
      </w:r>
      <w:r w:rsidR="005B3926" w:rsidRPr="00CE752E">
        <w:t>до определения в представения план за изпълнение на предложението срок, но не по-късно 31 март 2026г</w:t>
      </w:r>
      <w:r w:rsidRPr="003474BD">
        <w:rPr>
          <w:color w:val="000000" w:themeColor="text1"/>
        </w:rPr>
        <w:t>. Разходи, подкрепени с протоколи за прихващане, не се считат за допустими.</w:t>
      </w:r>
      <w:r w:rsidRPr="003474BD">
        <w:rPr>
          <w:b/>
          <w:i/>
          <w:color w:val="000000" w:themeColor="text1"/>
        </w:rPr>
        <w:t xml:space="preserve"> </w:t>
      </w:r>
    </w:p>
    <w:p w14:paraId="5CEB517F" w14:textId="77777777" w:rsidR="005B3926" w:rsidRDefault="003F1496" w:rsidP="005B3926">
      <w:pPr>
        <w:suppressAutoHyphens/>
        <w:spacing w:line="312" w:lineRule="auto"/>
        <w:jc w:val="both"/>
        <w:rPr>
          <w:color w:val="000000" w:themeColor="text1"/>
        </w:rPr>
      </w:pPr>
      <w:r w:rsidRPr="003474BD">
        <w:rPr>
          <w:b/>
          <w:color w:val="000000" w:themeColor="text1"/>
        </w:rPr>
        <w:t>5)</w:t>
      </w:r>
      <w:r w:rsidRPr="003474BD">
        <w:rPr>
          <w:color w:val="000000" w:themeColor="text1"/>
        </w:rPr>
        <w:t xml:space="preserve"> Да са отразени в счетоводната документация на крайния получател чрез отделни счетоводни аналитични сметки, съдържащи № на договор за финансиране или в отделна счетоводна система с утвърдени сметки за отчитане на разходи по договора за финансиране.</w:t>
      </w:r>
    </w:p>
    <w:p w14:paraId="3D278386" w14:textId="35280F9A" w:rsidR="003F1496" w:rsidRPr="003474BD" w:rsidRDefault="003F1496" w:rsidP="00A42091">
      <w:pPr>
        <w:suppressAutoHyphens/>
        <w:spacing w:before="120" w:after="120" w:line="312" w:lineRule="auto"/>
        <w:jc w:val="both"/>
        <w:rPr>
          <w:color w:val="000000" w:themeColor="text1"/>
        </w:rPr>
      </w:pPr>
      <w:r w:rsidRPr="003474BD">
        <w:rPr>
          <w:b/>
          <w:color w:val="000000" w:themeColor="text1"/>
        </w:rPr>
        <w:t>6)</w:t>
      </w:r>
      <w:r w:rsidRPr="003474BD">
        <w:rPr>
          <w:color w:val="000000" w:themeColor="text1"/>
        </w:rPr>
        <w:t xml:space="preserve"> Да могат да се установят и проверят, да бъдат подкрепени от оригинални разходоо</w:t>
      </w:r>
      <w:r w:rsidR="00D2454A" w:rsidRPr="003474BD">
        <w:rPr>
          <w:color w:val="000000" w:themeColor="text1"/>
        </w:rPr>
        <w:t>п</w:t>
      </w:r>
      <w:r w:rsidRPr="003474BD">
        <w:rPr>
          <w:color w:val="000000" w:themeColor="text1"/>
        </w:rPr>
        <w:t>равдателни документи.</w:t>
      </w:r>
    </w:p>
    <w:p w14:paraId="2FED7EDA" w14:textId="31AC7546" w:rsidR="003F1496" w:rsidRPr="003474BD" w:rsidRDefault="003F1496" w:rsidP="00A42091">
      <w:pPr>
        <w:suppressAutoHyphens/>
        <w:spacing w:before="120" w:after="120" w:line="312" w:lineRule="auto"/>
        <w:jc w:val="both"/>
        <w:rPr>
          <w:color w:val="000000" w:themeColor="text1"/>
        </w:rPr>
      </w:pPr>
      <w:r w:rsidRPr="003474BD">
        <w:rPr>
          <w:b/>
          <w:color w:val="000000" w:themeColor="text1"/>
        </w:rPr>
        <w:lastRenderedPageBreak/>
        <w:t>7)</w:t>
      </w:r>
      <w:r w:rsidRPr="003474BD">
        <w:rPr>
          <w:color w:val="000000" w:themeColor="text1"/>
        </w:rPr>
        <w:t xml:space="preserve"> </w:t>
      </w:r>
      <w:r w:rsidR="00D2454A" w:rsidRPr="003474BD">
        <w:rPr>
          <w:color w:val="000000" w:themeColor="text1"/>
        </w:rPr>
        <w:t xml:space="preserve">Да са за реално извършени услуги и доставени активи, необходими за изграждането на </w:t>
      </w:r>
      <w:r w:rsidR="00645619" w:rsidRPr="003474BD">
        <w:rPr>
          <w:color w:val="000000" w:themeColor="text1"/>
        </w:rPr>
        <w:t xml:space="preserve">съоръжението за </w:t>
      </w:r>
      <w:r w:rsidR="00D2454A" w:rsidRPr="003474BD">
        <w:rPr>
          <w:color w:val="000000" w:themeColor="text1"/>
        </w:rPr>
        <w:t xml:space="preserve">съхранение </w:t>
      </w:r>
      <w:r w:rsidR="00645619" w:rsidRPr="003474BD">
        <w:rPr>
          <w:color w:val="000000" w:themeColor="text1"/>
        </w:rPr>
        <w:t xml:space="preserve">на електрическа енергия </w:t>
      </w:r>
      <w:r w:rsidRPr="003474BD">
        <w:rPr>
          <w:color w:val="000000" w:themeColor="text1"/>
        </w:rPr>
        <w:t>.</w:t>
      </w:r>
    </w:p>
    <w:p w14:paraId="7F8F4B66" w14:textId="77777777" w:rsidR="00EF0009" w:rsidRPr="003474BD" w:rsidRDefault="00EF0009" w:rsidP="00A42091">
      <w:pPr>
        <w:suppressAutoHyphens/>
        <w:spacing w:before="120" w:after="120" w:line="312" w:lineRule="auto"/>
        <w:jc w:val="both"/>
        <w:rPr>
          <w:color w:val="000000" w:themeColor="text1"/>
        </w:rPr>
      </w:pPr>
      <w:r w:rsidRPr="003474BD">
        <w:rPr>
          <w:color w:val="000000" w:themeColor="text1"/>
        </w:rPr>
        <w:t xml:space="preserve">Бюджетът във Формуляра за кандидатстване трябва да отразява допустимите разходи, които са свързани с изпълнението на предложението за изпълнение на инвестиция. </w:t>
      </w:r>
    </w:p>
    <w:p w14:paraId="374C8928" w14:textId="77777777" w:rsidR="00EF0009" w:rsidRPr="003474BD" w:rsidRDefault="00EF0009" w:rsidP="00A42091">
      <w:pPr>
        <w:suppressAutoHyphens/>
        <w:spacing w:before="120" w:after="120" w:line="312" w:lineRule="auto"/>
        <w:jc w:val="both"/>
        <w:rPr>
          <w:color w:val="000000" w:themeColor="text1"/>
        </w:rPr>
      </w:pPr>
      <w:r w:rsidRPr="003474BD">
        <w:rPr>
          <w:color w:val="000000" w:themeColor="text1"/>
        </w:rPr>
        <w:t>По настоящата процедура са недопустими разходите за възстановим ДДС във връзка с реализирането на предложението за изпълнение на инвестиция.</w:t>
      </w:r>
    </w:p>
    <w:p w14:paraId="0E369C2D" w14:textId="7E1EAACA" w:rsidR="00EF0009" w:rsidRPr="003474BD" w:rsidRDefault="00EF0009" w:rsidP="00A42091">
      <w:pPr>
        <w:suppressAutoHyphens/>
        <w:spacing w:before="120" w:after="120" w:line="312" w:lineRule="auto"/>
        <w:jc w:val="both"/>
        <w:rPr>
          <w:color w:val="000000" w:themeColor="text1"/>
        </w:rPr>
      </w:pPr>
      <w:r w:rsidRPr="003474BD">
        <w:rPr>
          <w:color w:val="000000" w:themeColor="text1"/>
        </w:rPr>
        <w:t xml:space="preserve">За всички кандидати, за които ДДС е </w:t>
      </w:r>
      <w:r w:rsidR="00DC5756" w:rsidRPr="003474BD">
        <w:rPr>
          <w:color w:val="000000" w:themeColor="text1"/>
        </w:rPr>
        <w:t>"</w:t>
      </w:r>
      <w:r w:rsidRPr="003474BD">
        <w:rPr>
          <w:color w:val="000000" w:themeColor="text1"/>
        </w:rPr>
        <w:t>невъзстановим</w:t>
      </w:r>
      <w:r w:rsidR="00DC5756" w:rsidRPr="003474BD">
        <w:rPr>
          <w:color w:val="000000" w:themeColor="text1"/>
        </w:rPr>
        <w:t>"</w:t>
      </w:r>
      <w:r w:rsidRPr="003474BD">
        <w:rPr>
          <w:color w:val="000000" w:themeColor="text1"/>
        </w:rPr>
        <w:t xml:space="preserve">, то същият се счита за допустим за финансиране и може да бъде включен в общата стойност на допустимите разходи в т. </w:t>
      </w:r>
      <w:r w:rsidR="00DC5756" w:rsidRPr="003474BD">
        <w:rPr>
          <w:color w:val="000000" w:themeColor="text1"/>
        </w:rPr>
        <w:t>"</w:t>
      </w:r>
      <w:r w:rsidRPr="003474BD">
        <w:rPr>
          <w:color w:val="000000" w:themeColor="text1"/>
        </w:rPr>
        <w:t>Бюджет</w:t>
      </w:r>
      <w:r w:rsidR="00DC5756" w:rsidRPr="003474BD">
        <w:rPr>
          <w:color w:val="000000" w:themeColor="text1"/>
        </w:rPr>
        <w:t>"</w:t>
      </w:r>
      <w:r w:rsidRPr="003474BD">
        <w:rPr>
          <w:color w:val="000000" w:themeColor="text1"/>
        </w:rPr>
        <w:t xml:space="preserve"> на Формуляра за кандидатстване.</w:t>
      </w:r>
    </w:p>
    <w:p w14:paraId="0426FA9D" w14:textId="60121940" w:rsidR="003F1496" w:rsidRPr="003474BD" w:rsidRDefault="00EF0009" w:rsidP="00A42091">
      <w:pPr>
        <w:suppressAutoHyphens/>
        <w:spacing w:before="120" w:after="120" w:line="312" w:lineRule="auto"/>
        <w:jc w:val="both"/>
      </w:pPr>
      <w:r w:rsidRPr="003474BD">
        <w:rPr>
          <w:color w:val="000000" w:themeColor="text1"/>
        </w:rPr>
        <w:t>Относно третирането на ДДС кандидатите следва да се запознаят с чл. 186, параграф 4, буква в) от Финансовия регламент 1046/2018 и Указание на министъра на финансите ДНФ № 3/23.12.2016 г.</w:t>
      </w:r>
    </w:p>
    <w:p w14:paraId="6669144D" w14:textId="1A53A8A0" w:rsidR="003F1496" w:rsidRPr="003474BD" w:rsidRDefault="003F1496" w:rsidP="00A42091">
      <w:pPr>
        <w:pStyle w:val="Heading3"/>
        <w:keepNext/>
        <w:suppressAutoHyphens/>
        <w:spacing w:before="120" w:after="120" w:line="312" w:lineRule="auto"/>
        <w:rPr>
          <w:rFonts w:ascii="Times New Roman" w:hAnsi="Times New Roman"/>
          <w:sz w:val="24"/>
          <w:szCs w:val="24"/>
        </w:rPr>
      </w:pPr>
      <w:bookmarkStart w:id="64" w:name="_Toc106285936"/>
      <w:bookmarkStart w:id="65" w:name="_Toc166258051"/>
      <w:r w:rsidRPr="003474BD">
        <w:rPr>
          <w:rFonts w:ascii="Times New Roman" w:hAnsi="Times New Roman"/>
          <w:sz w:val="24"/>
          <w:szCs w:val="24"/>
        </w:rPr>
        <w:t>1</w:t>
      </w:r>
      <w:r w:rsidR="007A3227" w:rsidRPr="003474BD">
        <w:rPr>
          <w:rFonts w:ascii="Times New Roman" w:hAnsi="Times New Roman"/>
          <w:sz w:val="24"/>
          <w:szCs w:val="24"/>
        </w:rPr>
        <w:t>4</w:t>
      </w:r>
      <w:r w:rsidRPr="003474BD">
        <w:rPr>
          <w:rFonts w:ascii="Times New Roman" w:hAnsi="Times New Roman"/>
          <w:sz w:val="24"/>
          <w:szCs w:val="24"/>
        </w:rPr>
        <w:t>.2. Допустими разходи</w:t>
      </w:r>
      <w:bookmarkEnd w:id="64"/>
      <w:bookmarkEnd w:id="65"/>
    </w:p>
    <w:p w14:paraId="683CC1CF" w14:textId="323A02A1" w:rsidR="003F1496" w:rsidRPr="003474BD" w:rsidRDefault="003F1496" w:rsidP="00A42091">
      <w:pPr>
        <w:suppressAutoHyphens/>
        <w:spacing w:before="120" w:after="120" w:line="312" w:lineRule="auto"/>
        <w:jc w:val="both"/>
        <w:rPr>
          <w:color w:val="000000" w:themeColor="text1"/>
        </w:rPr>
      </w:pPr>
      <w:r w:rsidRPr="003474BD">
        <w:rPr>
          <w:color w:val="000000" w:themeColor="text1"/>
        </w:rPr>
        <w:t xml:space="preserve">Допустими по процедурата са следните видове разходи: </w:t>
      </w:r>
    </w:p>
    <w:p w14:paraId="066920CA" w14:textId="401BCF34" w:rsidR="0099163C" w:rsidRPr="003474BD" w:rsidRDefault="00F96D83" w:rsidP="00A42091">
      <w:pPr>
        <w:suppressAutoHyphens/>
        <w:spacing w:before="120" w:after="120" w:line="312" w:lineRule="auto"/>
        <w:jc w:val="both"/>
        <w:rPr>
          <w:color w:val="000000" w:themeColor="text1"/>
        </w:rPr>
      </w:pPr>
      <w:r w:rsidRPr="003474BD">
        <w:rPr>
          <w:color w:val="000000" w:themeColor="text1"/>
        </w:rPr>
        <w:t xml:space="preserve">В обхвата на допустимите разходи за изграждане на съоръжение </w:t>
      </w:r>
      <w:r w:rsidR="00645619" w:rsidRPr="003474BD">
        <w:rPr>
          <w:color w:val="000000" w:themeColor="text1"/>
        </w:rPr>
        <w:t xml:space="preserve">за съхранение на електрическа енергия </w:t>
      </w:r>
      <w:r w:rsidRPr="003474BD">
        <w:rPr>
          <w:color w:val="000000" w:themeColor="text1"/>
        </w:rPr>
        <w:t xml:space="preserve"> могат да се включат:</w:t>
      </w:r>
      <w:r w:rsidR="0099163C" w:rsidRPr="003474BD">
        <w:rPr>
          <w:color w:val="000000" w:themeColor="text1"/>
        </w:rPr>
        <w:t xml:space="preserve"> </w:t>
      </w:r>
    </w:p>
    <w:p w14:paraId="7DE41B5B" w14:textId="07187C0C" w:rsidR="003F1496" w:rsidRPr="003474BD" w:rsidRDefault="003F1496" w:rsidP="00A42091">
      <w:pPr>
        <w:suppressAutoHyphens/>
        <w:spacing w:before="120" w:after="120" w:line="312" w:lineRule="auto"/>
        <w:jc w:val="both"/>
        <w:rPr>
          <w:color w:val="000000" w:themeColor="text1"/>
        </w:rPr>
      </w:pPr>
      <w:r w:rsidRPr="003474BD">
        <w:rPr>
          <w:b/>
          <w:color w:val="000000" w:themeColor="text1"/>
        </w:rPr>
        <w:t xml:space="preserve">1) </w:t>
      </w:r>
      <w:r w:rsidR="0099163C" w:rsidRPr="003474BD">
        <w:rPr>
          <w:color w:val="000000" w:themeColor="text1"/>
        </w:rPr>
        <w:t>разходи за придобиване на дълготрайни материални активи (ДМА);</w:t>
      </w:r>
    </w:p>
    <w:p w14:paraId="32FA673F" w14:textId="21E426A1" w:rsidR="003F1496" w:rsidRPr="003474BD" w:rsidRDefault="003F1496" w:rsidP="00A42091">
      <w:pPr>
        <w:suppressAutoHyphens/>
        <w:spacing w:before="120" w:after="120" w:line="312" w:lineRule="auto"/>
        <w:jc w:val="both"/>
        <w:rPr>
          <w:color w:val="000000" w:themeColor="text1"/>
        </w:rPr>
      </w:pPr>
      <w:r w:rsidRPr="003474BD">
        <w:rPr>
          <w:b/>
          <w:bCs/>
          <w:color w:val="000000" w:themeColor="text1"/>
        </w:rPr>
        <w:t>2)</w:t>
      </w:r>
      <w:r w:rsidRPr="003474BD">
        <w:rPr>
          <w:color w:val="000000" w:themeColor="text1"/>
        </w:rPr>
        <w:t xml:space="preserve"> </w:t>
      </w:r>
      <w:r w:rsidR="0099163C" w:rsidRPr="003474BD">
        <w:rPr>
          <w:color w:val="000000" w:themeColor="text1"/>
        </w:rPr>
        <w:t>разходи за придобиване на дълготрайни нематериални активи (ДНА)</w:t>
      </w:r>
      <w:r w:rsidRPr="003474BD">
        <w:rPr>
          <w:color w:val="000000" w:themeColor="text1"/>
        </w:rPr>
        <w:t>.</w:t>
      </w:r>
    </w:p>
    <w:p w14:paraId="7564D511" w14:textId="52EC4543" w:rsidR="006318CE" w:rsidRPr="003474BD" w:rsidRDefault="003F1496" w:rsidP="00A42091">
      <w:pPr>
        <w:suppressAutoHyphens/>
        <w:spacing w:before="120" w:after="120" w:line="312" w:lineRule="auto"/>
        <w:jc w:val="both"/>
        <w:rPr>
          <w:color w:val="000000" w:themeColor="text1"/>
        </w:rPr>
      </w:pPr>
      <w:r w:rsidRPr="003474BD">
        <w:rPr>
          <w:b/>
          <w:bCs/>
          <w:color w:val="000000" w:themeColor="text1"/>
        </w:rPr>
        <w:t>3)</w:t>
      </w:r>
      <w:r w:rsidRPr="003474BD">
        <w:rPr>
          <w:color w:val="000000" w:themeColor="text1"/>
        </w:rPr>
        <w:t xml:space="preserve"> </w:t>
      </w:r>
      <w:r w:rsidR="006318CE" w:rsidRPr="003474BD">
        <w:rPr>
          <w:color w:val="000000" w:themeColor="text1"/>
        </w:rPr>
        <w:t>разходи за строително-монтажни работи (СМР);</w:t>
      </w:r>
    </w:p>
    <w:p w14:paraId="4D2A0ECE" w14:textId="6BA0EF3A" w:rsidR="006318CE" w:rsidRPr="003474BD" w:rsidRDefault="006318CE" w:rsidP="00A42091">
      <w:pPr>
        <w:suppressAutoHyphens/>
        <w:spacing w:before="120" w:after="120" w:line="312" w:lineRule="auto"/>
        <w:jc w:val="both"/>
        <w:rPr>
          <w:color w:val="000000" w:themeColor="text1"/>
        </w:rPr>
      </w:pPr>
      <w:r w:rsidRPr="003474BD">
        <w:rPr>
          <w:b/>
          <w:bCs/>
          <w:color w:val="000000" w:themeColor="text1"/>
        </w:rPr>
        <w:t>4)</w:t>
      </w:r>
      <w:r w:rsidRPr="003474BD">
        <w:rPr>
          <w:color w:val="000000" w:themeColor="text1"/>
        </w:rPr>
        <w:t xml:space="preserve"> разходи за услуги от инженерно-технически характер</w:t>
      </w:r>
      <w:r w:rsidR="00746750" w:rsidRPr="003474BD">
        <w:rPr>
          <w:color w:val="000000" w:themeColor="text1"/>
        </w:rPr>
        <w:t xml:space="preserve"> във връзка с проектирането</w:t>
      </w:r>
      <w:r w:rsidRPr="003474BD">
        <w:rPr>
          <w:color w:val="000000" w:themeColor="text1"/>
        </w:rPr>
        <w:t>;</w:t>
      </w:r>
    </w:p>
    <w:p w14:paraId="6825287B" w14:textId="41573172" w:rsidR="006318CE" w:rsidRPr="00641648" w:rsidRDefault="006318CE" w:rsidP="00A42091">
      <w:pPr>
        <w:suppressAutoHyphens/>
        <w:spacing w:before="120" w:after="120" w:line="312" w:lineRule="auto"/>
        <w:jc w:val="both"/>
        <w:rPr>
          <w:color w:val="000000" w:themeColor="text1"/>
        </w:rPr>
      </w:pPr>
      <w:r w:rsidRPr="00641648">
        <w:rPr>
          <w:b/>
          <w:bCs/>
          <w:color w:val="000000" w:themeColor="text1"/>
        </w:rPr>
        <w:t xml:space="preserve">5) </w:t>
      </w:r>
      <w:r w:rsidRPr="00A04518">
        <w:rPr>
          <w:color w:val="000000" w:themeColor="text1"/>
        </w:rPr>
        <w:t>разходи за изграждане на присъединителни съоръжения</w:t>
      </w:r>
      <w:r w:rsidR="00067260" w:rsidRPr="00A04518">
        <w:rPr>
          <w:color w:val="000000" w:themeColor="text1"/>
        </w:rPr>
        <w:t xml:space="preserve"> и присъединяване към </w:t>
      </w:r>
      <w:r w:rsidR="007018A7" w:rsidRPr="00A04518">
        <w:rPr>
          <w:color w:val="000000" w:themeColor="text1"/>
        </w:rPr>
        <w:t xml:space="preserve">електропреносната </w:t>
      </w:r>
      <w:r w:rsidR="00067260" w:rsidRPr="00A04518">
        <w:rPr>
          <w:color w:val="000000" w:themeColor="text1"/>
        </w:rPr>
        <w:t>мрежата</w:t>
      </w:r>
      <w:r w:rsidR="00067260" w:rsidRPr="00641648">
        <w:rPr>
          <w:color w:val="000000" w:themeColor="text1"/>
        </w:rPr>
        <w:t>;</w:t>
      </w:r>
    </w:p>
    <w:p w14:paraId="4B57B906" w14:textId="18BF9F8C" w:rsidR="003F1496" w:rsidRPr="00641648" w:rsidRDefault="006318CE" w:rsidP="00A42091">
      <w:pPr>
        <w:suppressAutoHyphens/>
        <w:spacing w:before="120" w:after="120" w:line="312" w:lineRule="auto"/>
        <w:jc w:val="both"/>
        <w:rPr>
          <w:color w:val="000000" w:themeColor="text1"/>
        </w:rPr>
      </w:pPr>
      <w:r w:rsidRPr="00641648">
        <w:rPr>
          <w:b/>
          <w:bCs/>
          <w:color w:val="000000" w:themeColor="text1"/>
        </w:rPr>
        <w:t>6)</w:t>
      </w:r>
      <w:r w:rsidRPr="00641648">
        <w:rPr>
          <w:color w:val="000000" w:themeColor="text1"/>
        </w:rPr>
        <w:t xml:space="preserve"> </w:t>
      </w:r>
      <w:r w:rsidR="00067260" w:rsidRPr="00641648">
        <w:rPr>
          <w:color w:val="000000" w:themeColor="text1"/>
        </w:rPr>
        <w:t>административни р</w:t>
      </w:r>
      <w:r w:rsidR="003F1496" w:rsidRPr="00641648">
        <w:rPr>
          <w:color w:val="000000" w:themeColor="text1"/>
        </w:rPr>
        <w:t xml:space="preserve">азходи за </w:t>
      </w:r>
      <w:r w:rsidR="00067260" w:rsidRPr="00641648">
        <w:rPr>
          <w:color w:val="000000" w:themeColor="text1"/>
        </w:rPr>
        <w:t>държавни и общински такси във връзка с регистрационни</w:t>
      </w:r>
      <w:r w:rsidR="00645619" w:rsidRPr="00641648">
        <w:rPr>
          <w:color w:val="000000" w:themeColor="text1"/>
        </w:rPr>
        <w:t>, лицензионни</w:t>
      </w:r>
      <w:r w:rsidR="00067260" w:rsidRPr="00641648">
        <w:rPr>
          <w:color w:val="000000" w:themeColor="text1"/>
        </w:rPr>
        <w:t xml:space="preserve"> и разрешителни режими</w:t>
      </w:r>
      <w:r w:rsidR="003F1496" w:rsidRPr="00641648">
        <w:rPr>
          <w:color w:val="000000" w:themeColor="text1"/>
        </w:rPr>
        <w:t>.</w:t>
      </w:r>
    </w:p>
    <w:p w14:paraId="4BA19A8C" w14:textId="05E8D064" w:rsidR="00CE3DBC" w:rsidRPr="003474BD" w:rsidRDefault="006318CE" w:rsidP="00A42091">
      <w:pPr>
        <w:suppressAutoHyphens/>
        <w:spacing w:before="120" w:after="120" w:line="312" w:lineRule="auto"/>
        <w:jc w:val="both"/>
        <w:rPr>
          <w:color w:val="000000" w:themeColor="text1"/>
        </w:rPr>
      </w:pPr>
      <w:r w:rsidRPr="00641648">
        <w:rPr>
          <w:color w:val="000000" w:themeColor="text1"/>
        </w:rPr>
        <w:t xml:space="preserve">Всички посочени </w:t>
      </w:r>
      <w:r w:rsidR="00067260" w:rsidRPr="00641648">
        <w:rPr>
          <w:color w:val="000000" w:themeColor="text1"/>
        </w:rPr>
        <w:t xml:space="preserve">по-горе </w:t>
      </w:r>
      <w:r w:rsidRPr="00641648">
        <w:rPr>
          <w:color w:val="000000" w:themeColor="text1"/>
        </w:rPr>
        <w:t xml:space="preserve">разходи следва да са необходими и пряко свързани с изгражданото съоръжение за съхранение на </w:t>
      </w:r>
      <w:r w:rsidR="000D7690" w:rsidRPr="00641648">
        <w:rPr>
          <w:color w:val="000000" w:themeColor="text1"/>
        </w:rPr>
        <w:t xml:space="preserve">електрическа енергия </w:t>
      </w:r>
      <w:r w:rsidRPr="00641648">
        <w:rPr>
          <w:color w:val="000000" w:themeColor="text1"/>
        </w:rPr>
        <w:t>.</w:t>
      </w:r>
      <w:r w:rsidR="00746750" w:rsidRPr="00641648">
        <w:rPr>
          <w:color w:val="000000" w:themeColor="text1"/>
        </w:rPr>
        <w:t xml:space="preserve"> </w:t>
      </w:r>
      <w:r w:rsidR="00746750" w:rsidRPr="00A04518">
        <w:rPr>
          <w:color w:val="000000" w:themeColor="text1"/>
        </w:rPr>
        <w:t xml:space="preserve">Общият размер на разходите по т. 4) и т. 6) не могат да бъдат повече от 10% от общия размер на </w:t>
      </w:r>
      <w:r w:rsidR="009B44C3" w:rsidRPr="00A04518">
        <w:rPr>
          <w:color w:val="000000" w:themeColor="text1"/>
        </w:rPr>
        <w:t>допустимите разходи</w:t>
      </w:r>
      <w:r w:rsidR="00746750" w:rsidRPr="00641648">
        <w:rPr>
          <w:color w:val="000000" w:themeColor="text1"/>
        </w:rPr>
        <w:t>.</w:t>
      </w:r>
    </w:p>
    <w:p w14:paraId="72783237" w14:textId="28F56B1D" w:rsidR="00067260" w:rsidRPr="003474BD" w:rsidRDefault="00067260" w:rsidP="00A42091">
      <w:pPr>
        <w:suppressAutoHyphens/>
        <w:spacing w:before="120" w:after="120" w:line="312" w:lineRule="auto"/>
        <w:jc w:val="both"/>
        <w:rPr>
          <w:color w:val="000000" w:themeColor="text1"/>
        </w:rPr>
      </w:pPr>
      <w:r w:rsidRPr="003474BD">
        <w:rPr>
          <w:color w:val="000000" w:themeColor="text1"/>
        </w:rPr>
        <w:t>Разходите следва да са извършени от крайния получател.</w:t>
      </w:r>
    </w:p>
    <w:p w14:paraId="712D3343" w14:textId="0E568EE0" w:rsidR="000D7690" w:rsidRPr="003474BD" w:rsidRDefault="006112EE" w:rsidP="00B711E5">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b/>
          <w:color w:val="000000" w:themeColor="text1"/>
        </w:rPr>
        <w:t>ВАЖНО:</w:t>
      </w:r>
      <w:r w:rsidRPr="003474BD">
        <w:rPr>
          <w:color w:val="000000" w:themeColor="text1"/>
        </w:rPr>
        <w:t xml:space="preserve"> </w:t>
      </w:r>
      <w:r w:rsidR="00B711E5" w:rsidRPr="003474BD">
        <w:rPr>
          <w:color w:val="000000" w:themeColor="text1"/>
        </w:rPr>
        <w:t xml:space="preserve">С оглед определяне на реалистичността на предвидените разходи, СНД е извършила предварителни анализи и пазарни проучвания и е определила максимална </w:t>
      </w:r>
      <w:r w:rsidR="00B711E5" w:rsidRPr="003474BD">
        <w:rPr>
          <w:color w:val="000000" w:themeColor="text1"/>
        </w:rPr>
        <w:lastRenderedPageBreak/>
        <w:t xml:space="preserve">стойност на безвъзмездната </w:t>
      </w:r>
      <w:r w:rsidR="00B711E5" w:rsidRPr="00775CB6">
        <w:rPr>
          <w:color w:val="000000" w:themeColor="text1"/>
        </w:rPr>
        <w:t xml:space="preserve">подкрепа </w:t>
      </w:r>
      <w:r w:rsidR="000D7690" w:rsidRPr="00A04518">
        <w:t xml:space="preserve">в размер до или равен на 50 % от допустимите разходи, но не повече от </w:t>
      </w:r>
      <w:r w:rsidR="0019208A" w:rsidRPr="00A04518">
        <w:t xml:space="preserve"> 371 607,70 </w:t>
      </w:r>
      <w:r w:rsidR="000D7690" w:rsidRPr="00A04518">
        <w:t xml:space="preserve">лева (без ДДС) за 1 MWh използваем енергиен капацитет на </w:t>
      </w:r>
      <w:r w:rsidR="000E3024" w:rsidRPr="00A04518">
        <w:t xml:space="preserve">изградените </w:t>
      </w:r>
      <w:r w:rsidR="000D7690" w:rsidRPr="00A04518">
        <w:t xml:space="preserve">и въведени в експлоатация съоръжения за съхранение на електрическа енергия </w:t>
      </w:r>
      <w:r w:rsidR="000D7690" w:rsidRPr="00775CB6">
        <w:t>.</w:t>
      </w:r>
    </w:p>
    <w:p w14:paraId="2AE82A6E" w14:textId="5541DDA3" w:rsidR="00B711E5" w:rsidRPr="003474BD" w:rsidRDefault="00B711E5" w:rsidP="00B711E5">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color w:val="000000" w:themeColor="text1"/>
        </w:rPr>
        <w:t>В определената максимална стойност на безвъзмездно финансиране се включват всички допустими разходи, посочени в т. 1-6. Разходите за възстановим данък върху добавената стойност са недопустими разходи.</w:t>
      </w:r>
    </w:p>
    <w:p w14:paraId="27B08E96" w14:textId="6444A788" w:rsidR="00B711E5" w:rsidRPr="003474BD" w:rsidRDefault="00B711E5" w:rsidP="00B711E5">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color w:val="000000" w:themeColor="text1"/>
        </w:rPr>
        <w:t xml:space="preserve">Кандидатите следва да заложат в т. </w:t>
      </w:r>
      <w:r w:rsidR="00DC5756" w:rsidRPr="003474BD">
        <w:rPr>
          <w:color w:val="000000" w:themeColor="text1"/>
        </w:rPr>
        <w:t>"</w:t>
      </w:r>
      <w:r w:rsidRPr="003474BD">
        <w:rPr>
          <w:color w:val="000000" w:themeColor="text1"/>
        </w:rPr>
        <w:t>Бюджет</w:t>
      </w:r>
      <w:r w:rsidR="00DC5756" w:rsidRPr="003474BD">
        <w:rPr>
          <w:color w:val="000000" w:themeColor="text1"/>
        </w:rPr>
        <w:t>"</w:t>
      </w:r>
      <w:r w:rsidRPr="003474BD">
        <w:rPr>
          <w:color w:val="000000" w:themeColor="text1"/>
        </w:rPr>
        <w:t xml:space="preserve"> на Формуляра за кандидатстване всички допустими разходи за изграждане на компонента съхранение от комбинирания проект.</w:t>
      </w:r>
    </w:p>
    <w:p w14:paraId="70BB9BCB" w14:textId="64126C72" w:rsidR="006112EE" w:rsidRPr="003474BD" w:rsidRDefault="004A6EC9" w:rsidP="00B711E5">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Pr>
          <w:color w:val="000000" w:themeColor="text1"/>
        </w:rPr>
        <w:t>В</w:t>
      </w:r>
      <w:r w:rsidR="00B711E5" w:rsidRPr="003474BD">
        <w:rPr>
          <w:color w:val="000000" w:themeColor="text1"/>
        </w:rPr>
        <w:t xml:space="preserve">секи допустим разход </w:t>
      </w:r>
      <w:r>
        <w:rPr>
          <w:color w:val="000000" w:themeColor="text1"/>
        </w:rPr>
        <w:t xml:space="preserve">във </w:t>
      </w:r>
      <w:r w:rsidRPr="003474BD">
        <w:rPr>
          <w:color w:val="000000" w:themeColor="text1"/>
        </w:rPr>
        <w:t xml:space="preserve">Формуляра за кандидатстване </w:t>
      </w:r>
      <w:r w:rsidR="00B711E5" w:rsidRPr="003474BD">
        <w:rPr>
          <w:color w:val="000000" w:themeColor="text1"/>
        </w:rPr>
        <w:t xml:space="preserve">следва да бъде </w:t>
      </w:r>
      <w:r>
        <w:rPr>
          <w:color w:val="000000" w:themeColor="text1"/>
        </w:rPr>
        <w:t xml:space="preserve">посочен с конкретна стойност и </w:t>
      </w:r>
      <w:r w:rsidR="00B711E5" w:rsidRPr="003474BD">
        <w:rPr>
          <w:color w:val="000000" w:themeColor="text1"/>
        </w:rPr>
        <w:t xml:space="preserve">съобразен с определената максимална стойност на безвъзмездно финансиране до </w:t>
      </w:r>
      <w:r w:rsidR="00BC0440" w:rsidRPr="003474BD">
        <w:rPr>
          <w:color w:val="000000" w:themeColor="text1"/>
        </w:rPr>
        <w:t xml:space="preserve">или равно на </w:t>
      </w:r>
      <w:r w:rsidR="00B711E5" w:rsidRPr="003474BD">
        <w:rPr>
          <w:color w:val="000000" w:themeColor="text1"/>
        </w:rPr>
        <w:t>50%.</w:t>
      </w:r>
      <w:r w:rsidR="006112EE" w:rsidRPr="003474BD">
        <w:rPr>
          <w:color w:val="000000" w:themeColor="text1"/>
        </w:rPr>
        <w:t xml:space="preserve"> </w:t>
      </w:r>
    </w:p>
    <w:p w14:paraId="730C690B" w14:textId="77777777" w:rsidR="006112EE" w:rsidRPr="003474BD" w:rsidRDefault="006112EE" w:rsidP="00A42091">
      <w:pPr>
        <w:suppressAutoHyphens/>
        <w:spacing w:before="120" w:after="120" w:line="312" w:lineRule="auto"/>
        <w:jc w:val="both"/>
      </w:pPr>
    </w:p>
    <w:p w14:paraId="4D92A4A2" w14:textId="6CF340D7" w:rsidR="00B711E5" w:rsidRPr="003474BD" w:rsidRDefault="003F1496" w:rsidP="00A97694">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b/>
          <w:color w:val="000000" w:themeColor="text1"/>
        </w:rPr>
        <w:t>ВАЖНО:</w:t>
      </w:r>
      <w:r w:rsidRPr="003474BD">
        <w:rPr>
          <w:color w:val="000000" w:themeColor="text1"/>
        </w:rPr>
        <w:t xml:space="preserve"> </w:t>
      </w:r>
      <w:r w:rsidR="00B711E5" w:rsidRPr="003474BD">
        <w:rPr>
          <w:color w:val="000000" w:themeColor="text1"/>
        </w:rPr>
        <w:t xml:space="preserve">Във Формуляра за кандидатстване, следва да бъде посочен точният адрес </w:t>
      </w:r>
      <w:r w:rsidR="00732DEA" w:rsidRPr="003474BD">
        <w:rPr>
          <w:color w:val="000000" w:themeColor="text1"/>
        </w:rPr>
        <w:t xml:space="preserve">и/или местоположение </w:t>
      </w:r>
      <w:r w:rsidR="00B711E5" w:rsidRPr="003474BD">
        <w:rPr>
          <w:color w:val="000000" w:themeColor="text1"/>
        </w:rPr>
        <w:t>на стопанския обект, където ще се извърши инвестицията.</w:t>
      </w:r>
    </w:p>
    <w:p w14:paraId="6648E13A" w14:textId="5403E49C" w:rsidR="003F1496" w:rsidRPr="003474BD" w:rsidRDefault="00B711E5" w:rsidP="00B711E5">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color w:val="000000" w:themeColor="text1"/>
        </w:rPr>
        <w:t>Дълготрайните активи, придобити със средства по предложението за изпълнение на инвестиция, следва да бъдат използвани единствено в стопанския обект</w:t>
      </w:r>
      <w:r w:rsidR="00EB38C9" w:rsidRPr="003474BD">
        <w:rPr>
          <w:color w:val="000000" w:themeColor="text1"/>
        </w:rPr>
        <w:t xml:space="preserve"> (съоръжението за съхранение)</w:t>
      </w:r>
      <w:r w:rsidRPr="003474BD">
        <w:rPr>
          <w:color w:val="000000" w:themeColor="text1"/>
        </w:rPr>
        <w:t>, за който се получава помощта,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 съгласно приложимите счетоводни стандарти.</w:t>
      </w:r>
    </w:p>
    <w:p w14:paraId="14F565A9" w14:textId="77777777" w:rsidR="003F1496" w:rsidRPr="003474BD" w:rsidRDefault="003F1496" w:rsidP="00A42091">
      <w:pPr>
        <w:suppressAutoHyphens/>
        <w:spacing w:before="120" w:after="120" w:line="312" w:lineRule="auto"/>
        <w:jc w:val="both"/>
        <w:rPr>
          <w:b/>
          <w:color w:val="000000" w:themeColor="text1"/>
        </w:rPr>
      </w:pPr>
    </w:p>
    <w:p w14:paraId="2549B3FA" w14:textId="104A34F0" w:rsidR="003F1496" w:rsidRPr="003474BD" w:rsidRDefault="003F1496"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b/>
          <w:color w:val="000000" w:themeColor="text1"/>
        </w:rPr>
        <w:t xml:space="preserve">ВАЖНО: </w:t>
      </w:r>
      <w:r w:rsidRPr="003474BD">
        <w:rPr>
          <w:color w:val="000000" w:themeColor="text1"/>
        </w:rPr>
        <w:t>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то този разход ще бъде изцяло премахнат от бюджета на съответното предложение за изпълнение на инвестиция.</w:t>
      </w:r>
    </w:p>
    <w:p w14:paraId="701204DC" w14:textId="6E4452BD"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Инвестиционни помощи се предоставят само за нови</w:t>
      </w:r>
      <w:r w:rsidR="00D04F04" w:rsidRPr="003474BD">
        <w:rPr>
          <w:color w:val="000000" w:themeColor="text1"/>
        </w:rPr>
        <w:t xml:space="preserve"> </w:t>
      </w:r>
      <w:r w:rsidRPr="003474BD">
        <w:rPr>
          <w:color w:val="000000" w:themeColor="text1"/>
        </w:rPr>
        <w:t>съоръжения</w:t>
      </w:r>
      <w:r w:rsidR="00F05389" w:rsidRPr="003474BD">
        <w:rPr>
          <w:color w:val="000000" w:themeColor="text1"/>
        </w:rPr>
        <w:t xml:space="preserve"> за съхранение</w:t>
      </w:r>
      <w:r w:rsidRPr="003474BD">
        <w:rPr>
          <w:color w:val="000000" w:themeColor="text1"/>
        </w:rPr>
        <w:t xml:space="preserve">. След като съоръжението </w:t>
      </w:r>
      <w:r w:rsidR="00F05389" w:rsidRPr="003474BD">
        <w:rPr>
          <w:color w:val="000000" w:themeColor="text1"/>
        </w:rPr>
        <w:t xml:space="preserve">за съхранение </w:t>
      </w:r>
      <w:r w:rsidRPr="003474BD">
        <w:rPr>
          <w:color w:val="000000" w:themeColor="text1"/>
        </w:rPr>
        <w:t>започне своята работа,</w:t>
      </w:r>
      <w:r w:rsidR="00D04F04" w:rsidRPr="003474BD">
        <w:rPr>
          <w:color w:val="000000" w:themeColor="text1"/>
        </w:rPr>
        <w:t xml:space="preserve"> </w:t>
      </w:r>
      <w:r w:rsidRPr="003474BD">
        <w:rPr>
          <w:color w:val="000000" w:themeColor="text1"/>
        </w:rPr>
        <w:t>помощи не се предоставят. Помощите не</w:t>
      </w:r>
      <w:r w:rsidR="00D04F04" w:rsidRPr="003474BD">
        <w:rPr>
          <w:color w:val="000000" w:themeColor="text1"/>
        </w:rPr>
        <w:t xml:space="preserve"> </w:t>
      </w:r>
      <w:r w:rsidRPr="003474BD">
        <w:rPr>
          <w:color w:val="000000" w:themeColor="text1"/>
        </w:rPr>
        <w:t xml:space="preserve">зависят от </w:t>
      </w:r>
      <w:r w:rsidR="00F05389" w:rsidRPr="003474BD">
        <w:rPr>
          <w:color w:val="000000" w:themeColor="text1"/>
        </w:rPr>
        <w:t>производителността.</w:t>
      </w:r>
    </w:p>
    <w:p w14:paraId="5B1CB328" w14:textId="257F9F1A" w:rsidR="003F1496" w:rsidRDefault="003F1496" w:rsidP="00A42091">
      <w:pPr>
        <w:suppressAutoHyphens/>
        <w:spacing w:before="120" w:after="120" w:line="312" w:lineRule="auto"/>
        <w:jc w:val="both"/>
      </w:pPr>
    </w:p>
    <w:p w14:paraId="2C076297" w14:textId="77777777" w:rsidR="009417A7" w:rsidRPr="003474BD" w:rsidRDefault="009417A7" w:rsidP="00A42091">
      <w:pPr>
        <w:suppressAutoHyphens/>
        <w:spacing w:before="120" w:after="120" w:line="312" w:lineRule="auto"/>
        <w:jc w:val="both"/>
      </w:pPr>
    </w:p>
    <w:p w14:paraId="7711DAA6" w14:textId="321D6CA0" w:rsidR="003F1496" w:rsidRPr="003474BD" w:rsidRDefault="003F1496" w:rsidP="00A42091">
      <w:pPr>
        <w:pStyle w:val="Heading3"/>
        <w:suppressAutoHyphens/>
        <w:spacing w:before="120" w:after="120" w:line="312" w:lineRule="auto"/>
        <w:rPr>
          <w:rFonts w:ascii="Times New Roman" w:hAnsi="Times New Roman"/>
          <w:sz w:val="24"/>
          <w:szCs w:val="24"/>
        </w:rPr>
      </w:pPr>
      <w:bookmarkStart w:id="66" w:name="_Toc106285937"/>
      <w:bookmarkStart w:id="67" w:name="_Toc166258052"/>
      <w:r w:rsidRPr="003474BD">
        <w:rPr>
          <w:rFonts w:ascii="Times New Roman" w:hAnsi="Times New Roman"/>
          <w:sz w:val="24"/>
          <w:szCs w:val="24"/>
        </w:rPr>
        <w:lastRenderedPageBreak/>
        <w:t>1</w:t>
      </w:r>
      <w:r w:rsidR="007A3227" w:rsidRPr="003474BD">
        <w:rPr>
          <w:rFonts w:ascii="Times New Roman" w:hAnsi="Times New Roman"/>
          <w:sz w:val="24"/>
          <w:szCs w:val="24"/>
        </w:rPr>
        <w:t>4</w:t>
      </w:r>
      <w:r w:rsidRPr="003474BD">
        <w:rPr>
          <w:rFonts w:ascii="Times New Roman" w:hAnsi="Times New Roman"/>
          <w:sz w:val="24"/>
          <w:szCs w:val="24"/>
        </w:rPr>
        <w:t>.3. Недопустими разходи</w:t>
      </w:r>
      <w:bookmarkEnd w:id="66"/>
      <w:bookmarkEnd w:id="67"/>
    </w:p>
    <w:p w14:paraId="02FDF956" w14:textId="77777777" w:rsidR="003F1496" w:rsidRPr="003474BD" w:rsidRDefault="003F1496" w:rsidP="00A42091">
      <w:pPr>
        <w:suppressAutoHyphens/>
        <w:spacing w:before="120" w:after="120" w:line="312" w:lineRule="auto"/>
        <w:jc w:val="both"/>
        <w:rPr>
          <w:color w:val="000000" w:themeColor="text1"/>
        </w:rPr>
      </w:pPr>
      <w:r w:rsidRPr="003474BD">
        <w:rPr>
          <w:b/>
          <w:color w:val="000000" w:themeColor="text1"/>
        </w:rPr>
        <w:t>Недопустими</w:t>
      </w:r>
      <w:r w:rsidRPr="003474BD">
        <w:rPr>
          <w:color w:val="000000" w:themeColor="text1"/>
        </w:rPr>
        <w:t xml:space="preserve"> по процедурата са следните видове разходи: </w:t>
      </w:r>
    </w:p>
    <w:p w14:paraId="352D272B" w14:textId="2431A6D0" w:rsidR="000E067F" w:rsidRPr="004A6EC9" w:rsidRDefault="000E067F" w:rsidP="00A42091">
      <w:pPr>
        <w:numPr>
          <w:ilvl w:val="0"/>
          <w:numId w:val="13"/>
        </w:numPr>
        <w:suppressAutoHyphens/>
        <w:spacing w:before="120" w:after="120" w:line="312" w:lineRule="auto"/>
        <w:jc w:val="both"/>
        <w:rPr>
          <w:color w:val="000000" w:themeColor="text1"/>
        </w:rPr>
      </w:pPr>
      <w:r w:rsidRPr="003474BD">
        <w:rPr>
          <w:color w:val="000000" w:themeColor="text1"/>
        </w:rPr>
        <w:t xml:space="preserve">разходи за </w:t>
      </w:r>
      <w:bookmarkStart w:id="68" w:name="_Hlk147248029"/>
      <w:r w:rsidRPr="003474BD">
        <w:rPr>
          <w:color w:val="000000" w:themeColor="text1"/>
        </w:rPr>
        <w:t>дейности</w:t>
      </w:r>
      <w:r w:rsidR="00C11CCE" w:rsidRPr="003474BD">
        <w:rPr>
          <w:color w:val="000000" w:themeColor="text1"/>
        </w:rPr>
        <w:t xml:space="preserve"> във връзка със съоръжението за съхранение на електрическа енергия</w:t>
      </w:r>
      <w:r w:rsidRPr="003474BD">
        <w:rPr>
          <w:color w:val="000000" w:themeColor="text1"/>
        </w:rPr>
        <w:t xml:space="preserve">, </w:t>
      </w:r>
      <w:r w:rsidR="00EB38C9" w:rsidRPr="003474BD">
        <w:rPr>
          <w:color w:val="000000" w:themeColor="text1"/>
        </w:rPr>
        <w:t xml:space="preserve">които са </w:t>
      </w:r>
      <w:r w:rsidR="00EB38C9" w:rsidRPr="004A6EC9">
        <w:rPr>
          <w:color w:val="000000" w:themeColor="text1"/>
        </w:rPr>
        <w:t xml:space="preserve">извършени </w:t>
      </w:r>
      <w:r w:rsidR="00EB38C9" w:rsidRPr="00A04518">
        <w:rPr>
          <w:color w:val="000000" w:themeColor="text1"/>
        </w:rPr>
        <w:t xml:space="preserve">преди </w:t>
      </w:r>
      <w:r w:rsidR="00796784" w:rsidRPr="00A04518">
        <w:rPr>
          <w:color w:val="000000" w:themeColor="text1"/>
        </w:rPr>
        <w:t xml:space="preserve">9 март 2023 г. </w:t>
      </w:r>
      <w:bookmarkEnd w:id="68"/>
      <w:r w:rsidR="005812C2" w:rsidRPr="004A6EC9">
        <w:rPr>
          <w:color w:val="000000" w:themeColor="text1"/>
        </w:rPr>
        <w:t>;</w:t>
      </w:r>
    </w:p>
    <w:p w14:paraId="6453026D" w14:textId="6C19CF28" w:rsidR="003F1496" w:rsidRPr="003474BD" w:rsidRDefault="003F1496" w:rsidP="00A42091">
      <w:pPr>
        <w:numPr>
          <w:ilvl w:val="0"/>
          <w:numId w:val="13"/>
        </w:numPr>
        <w:suppressAutoHyphens/>
        <w:spacing w:before="120" w:after="120" w:line="312" w:lineRule="auto"/>
        <w:jc w:val="both"/>
        <w:rPr>
          <w:color w:val="000000" w:themeColor="text1"/>
        </w:rPr>
      </w:pPr>
      <w:r w:rsidRPr="003474BD">
        <w:rPr>
          <w:color w:val="000000" w:themeColor="text1"/>
        </w:rPr>
        <w:t xml:space="preserve">разходи за закупуване на </w:t>
      </w:r>
      <w:r w:rsidR="00F05389" w:rsidRPr="003474BD">
        <w:rPr>
          <w:color w:val="000000" w:themeColor="text1"/>
        </w:rPr>
        <w:t xml:space="preserve">ДМА и ДНА </w:t>
      </w:r>
      <w:r w:rsidRPr="003474BD">
        <w:rPr>
          <w:color w:val="000000" w:themeColor="text1"/>
        </w:rPr>
        <w:t>дълготрайни активи втора употреба;</w:t>
      </w:r>
    </w:p>
    <w:p w14:paraId="5F90F38E" w14:textId="77777777" w:rsidR="003F1496" w:rsidRPr="003474BD" w:rsidRDefault="003F1496" w:rsidP="00A42091">
      <w:pPr>
        <w:numPr>
          <w:ilvl w:val="0"/>
          <w:numId w:val="13"/>
        </w:numPr>
        <w:suppressAutoHyphens/>
        <w:spacing w:before="120" w:after="120" w:line="312" w:lineRule="auto"/>
        <w:jc w:val="both"/>
        <w:rPr>
          <w:color w:val="000000" w:themeColor="text1"/>
        </w:rPr>
      </w:pPr>
      <w:r w:rsidRPr="003474BD">
        <w:rPr>
          <w:color w:val="000000" w:themeColor="text1"/>
        </w:rPr>
        <w:t>разходи, свързани с наемането на материални и нематериални активи;</w:t>
      </w:r>
    </w:p>
    <w:p w14:paraId="56DC64E7" w14:textId="77777777" w:rsidR="003F1496" w:rsidRPr="003474BD" w:rsidRDefault="003F1496" w:rsidP="00A42091">
      <w:pPr>
        <w:numPr>
          <w:ilvl w:val="0"/>
          <w:numId w:val="13"/>
        </w:numPr>
        <w:suppressAutoHyphens/>
        <w:spacing w:before="120" w:after="120" w:line="312" w:lineRule="auto"/>
        <w:jc w:val="both"/>
        <w:rPr>
          <w:color w:val="000000" w:themeColor="text1"/>
        </w:rPr>
      </w:pPr>
      <w:r w:rsidRPr="003474BD">
        <w:rPr>
          <w:color w:val="000000" w:themeColor="text1"/>
        </w:rPr>
        <w:t>разходи за закупуване на земя и сгради;</w:t>
      </w:r>
    </w:p>
    <w:p w14:paraId="6017D559" w14:textId="77777777" w:rsidR="003F1496" w:rsidRPr="003474BD" w:rsidRDefault="003F1496" w:rsidP="00A42091">
      <w:pPr>
        <w:numPr>
          <w:ilvl w:val="0"/>
          <w:numId w:val="13"/>
        </w:numPr>
        <w:suppressAutoHyphens/>
        <w:spacing w:before="120" w:after="120" w:line="312" w:lineRule="auto"/>
        <w:jc w:val="both"/>
        <w:rPr>
          <w:color w:val="000000" w:themeColor="text1"/>
        </w:rPr>
      </w:pPr>
      <w:r w:rsidRPr="003474BD">
        <w:rPr>
          <w:color w:val="000000" w:themeColor="text1"/>
        </w:rPr>
        <w:t>разходи за закупуване или наемане на транспортни средства и съоръжения;</w:t>
      </w:r>
    </w:p>
    <w:p w14:paraId="4CE4B433" w14:textId="77777777" w:rsidR="003F1496" w:rsidRPr="003474BD" w:rsidRDefault="003F1496" w:rsidP="00A42091">
      <w:pPr>
        <w:numPr>
          <w:ilvl w:val="0"/>
          <w:numId w:val="13"/>
        </w:numPr>
        <w:suppressAutoHyphens/>
        <w:spacing w:before="120" w:after="120" w:line="312" w:lineRule="auto"/>
        <w:jc w:val="both"/>
        <w:rPr>
          <w:color w:val="000000" w:themeColor="text1"/>
        </w:rPr>
      </w:pPr>
      <w:r w:rsidRPr="003474BD">
        <w:rPr>
          <w:color w:val="000000" w:themeColor="text1"/>
        </w:rPr>
        <w:t>разходи за дейности, извършени след изтичане на крайния срок за изпълнение на дейностите по предложението за изпълнение на инвестиция;</w:t>
      </w:r>
    </w:p>
    <w:p w14:paraId="7CE1E057" w14:textId="309E1BDE" w:rsidR="003F1496" w:rsidRPr="003474BD" w:rsidRDefault="003F1496" w:rsidP="00A42091">
      <w:pPr>
        <w:numPr>
          <w:ilvl w:val="0"/>
          <w:numId w:val="13"/>
        </w:numPr>
        <w:suppressAutoHyphens/>
        <w:spacing w:before="120" w:after="120" w:line="312" w:lineRule="auto"/>
        <w:jc w:val="both"/>
        <w:rPr>
          <w:color w:val="000000" w:themeColor="text1"/>
        </w:rPr>
      </w:pPr>
      <w:r w:rsidRPr="003474BD">
        <w:rPr>
          <w:color w:val="000000" w:themeColor="text1"/>
        </w:rPr>
        <w:t xml:space="preserve">разходи за дейности, които вече са финансирани </w:t>
      </w:r>
      <w:r w:rsidR="008718ED" w:rsidRPr="003474BD">
        <w:rPr>
          <w:color w:val="000000" w:themeColor="text1"/>
        </w:rPr>
        <w:t>по друг проект, програма или каквато и да е друга финансова схема, произлизаща от националния бюджет, бюджета на Общността или друга донорска програма, които водят до надхвърляне на най-високия размер или интензитет на помощта, приложим за тази помощ, както и дейности за проекти, който са били финансирани по BG-RRP - 4.032 "Подкрепа за нови мощности за производство на електроенергия от възобновяеми източници и съхранение на електроенергия над 200 kW</w:t>
      </w:r>
      <w:r w:rsidR="008718ED" w:rsidRPr="003474BD">
        <w:rPr>
          <w:rStyle w:val="FootnoteReference"/>
          <w:color w:val="000000" w:themeColor="text1"/>
        </w:rPr>
        <w:footnoteReference w:id="18"/>
      </w:r>
      <w:r w:rsidR="008718ED" w:rsidRPr="003474BD">
        <w:rPr>
          <w:color w:val="000000" w:themeColor="text1"/>
        </w:rPr>
        <w:t>"</w:t>
      </w:r>
      <w:r w:rsidRPr="003474BD">
        <w:rPr>
          <w:color w:val="000000" w:themeColor="text1"/>
        </w:rPr>
        <w:t>;</w:t>
      </w:r>
    </w:p>
    <w:p w14:paraId="28E481A2" w14:textId="77777777" w:rsidR="003F1496" w:rsidRPr="003474BD" w:rsidRDefault="003F1496" w:rsidP="004B686C">
      <w:pPr>
        <w:numPr>
          <w:ilvl w:val="0"/>
          <w:numId w:val="13"/>
        </w:numPr>
        <w:suppressAutoHyphens/>
        <w:spacing w:before="120" w:after="120" w:line="312" w:lineRule="auto"/>
        <w:jc w:val="both"/>
        <w:rPr>
          <w:color w:val="000000" w:themeColor="text1"/>
        </w:rPr>
      </w:pPr>
      <w:r w:rsidRPr="003474BD">
        <w:rPr>
          <w:color w:val="000000" w:themeColor="text1"/>
        </w:rPr>
        <w:t>разходи, които не съблюдават съответното законодателство на ЕС и национално законодателство в областта на околната среда;</w:t>
      </w:r>
    </w:p>
    <w:p w14:paraId="73356096" w14:textId="77777777" w:rsidR="003F1496" w:rsidRPr="003474BD" w:rsidRDefault="003F1496" w:rsidP="00A42091">
      <w:pPr>
        <w:pStyle w:val="ListParagraph"/>
        <w:numPr>
          <w:ilvl w:val="0"/>
          <w:numId w:val="14"/>
        </w:numPr>
        <w:suppressAutoHyphens/>
        <w:spacing w:line="312" w:lineRule="auto"/>
        <w:contextualSpacing w:val="0"/>
        <w:rPr>
          <w:rFonts w:ascii="Times New Roman" w:hAnsi="Times New Roman"/>
          <w:color w:val="000000" w:themeColor="text1"/>
          <w:sz w:val="24"/>
          <w:szCs w:val="24"/>
        </w:rPr>
      </w:pPr>
      <w:r w:rsidRPr="003474BD">
        <w:rPr>
          <w:rFonts w:ascii="Times New Roman" w:hAnsi="Times New Roman"/>
          <w:color w:val="000000" w:themeColor="text1"/>
          <w:sz w:val="24"/>
          <w:szCs w:val="24"/>
        </w:rPr>
        <w:t>разходи, които не са включени във Формуляра за кандидатстване;</w:t>
      </w:r>
    </w:p>
    <w:p w14:paraId="61C74DE1" w14:textId="77777777" w:rsidR="003F1496" w:rsidRPr="003474BD" w:rsidRDefault="003F1496" w:rsidP="00A42091">
      <w:pPr>
        <w:numPr>
          <w:ilvl w:val="0"/>
          <w:numId w:val="14"/>
        </w:numPr>
        <w:suppressAutoHyphens/>
        <w:spacing w:before="120" w:after="120" w:line="312" w:lineRule="auto"/>
        <w:jc w:val="both"/>
        <w:rPr>
          <w:color w:val="000000" w:themeColor="text1"/>
        </w:rPr>
      </w:pPr>
      <w:r w:rsidRPr="003474BD">
        <w:rPr>
          <w:color w:val="000000" w:themeColor="text1"/>
        </w:rPr>
        <w:t>разходи за закупуване на компютърно оборудване и софтуер за административни нужди на предприятието;</w:t>
      </w:r>
    </w:p>
    <w:p w14:paraId="45157154" w14:textId="77777777" w:rsidR="003F1496" w:rsidRPr="003474BD" w:rsidRDefault="003F1496" w:rsidP="00A42091">
      <w:pPr>
        <w:numPr>
          <w:ilvl w:val="0"/>
          <w:numId w:val="14"/>
        </w:numPr>
        <w:suppressAutoHyphens/>
        <w:spacing w:before="120" w:after="120" w:line="312" w:lineRule="auto"/>
        <w:jc w:val="both"/>
        <w:rPr>
          <w:color w:val="000000" w:themeColor="text1"/>
        </w:rPr>
      </w:pPr>
      <w:r w:rsidRPr="003474BD">
        <w:rPr>
          <w:color w:val="000000" w:themeColor="text1"/>
        </w:rPr>
        <w:t>разходи за извършване на реклама, включително извършване на дейности, свързани с визуализация на предложението за изпълнение на инвестиция;</w:t>
      </w:r>
    </w:p>
    <w:p w14:paraId="62A97E67" w14:textId="77777777" w:rsidR="003F1496" w:rsidRPr="003474BD" w:rsidRDefault="003F1496" w:rsidP="00A42091">
      <w:pPr>
        <w:numPr>
          <w:ilvl w:val="0"/>
          <w:numId w:val="14"/>
        </w:numPr>
        <w:suppressAutoHyphens/>
        <w:spacing w:before="120" w:after="120" w:line="312" w:lineRule="auto"/>
        <w:jc w:val="both"/>
        <w:rPr>
          <w:color w:val="000000" w:themeColor="text1"/>
        </w:rPr>
      </w:pPr>
      <w:r w:rsidRPr="003474BD">
        <w:rPr>
          <w:color w:val="000000" w:themeColor="text1"/>
        </w:rPr>
        <w:t>разходи за застраховки на закупеното оборудване;</w:t>
      </w:r>
    </w:p>
    <w:p w14:paraId="1B631BEC" w14:textId="77777777" w:rsidR="003F1496" w:rsidRPr="003474BD" w:rsidRDefault="003F1496" w:rsidP="00A42091">
      <w:pPr>
        <w:numPr>
          <w:ilvl w:val="0"/>
          <w:numId w:val="14"/>
        </w:numPr>
        <w:suppressAutoHyphens/>
        <w:spacing w:before="120" w:after="120" w:line="312" w:lineRule="auto"/>
        <w:jc w:val="both"/>
        <w:rPr>
          <w:color w:val="000000" w:themeColor="text1"/>
        </w:rPr>
      </w:pPr>
      <w:r w:rsidRPr="003474BD">
        <w:rPr>
          <w:color w:val="000000" w:themeColor="text1"/>
        </w:rPr>
        <w:t>принос в натура;</w:t>
      </w:r>
    </w:p>
    <w:p w14:paraId="4432F2CB" w14:textId="77777777" w:rsidR="003F1496" w:rsidRPr="003474BD" w:rsidRDefault="003F1496" w:rsidP="00A42091">
      <w:pPr>
        <w:numPr>
          <w:ilvl w:val="0"/>
          <w:numId w:val="14"/>
        </w:numPr>
        <w:suppressAutoHyphens/>
        <w:spacing w:before="120" w:after="120" w:line="312" w:lineRule="auto"/>
        <w:jc w:val="both"/>
        <w:rPr>
          <w:color w:val="000000" w:themeColor="text1"/>
        </w:rPr>
      </w:pPr>
      <w:r w:rsidRPr="003474BD">
        <w:rPr>
          <w:color w:val="000000" w:themeColor="text1"/>
        </w:rPr>
        <w:t>разходи за възстановим ДДС;</w:t>
      </w:r>
    </w:p>
    <w:p w14:paraId="71992937" w14:textId="741B8FC3" w:rsidR="003F1496" w:rsidRPr="003474BD" w:rsidRDefault="003F1496" w:rsidP="00A42091">
      <w:pPr>
        <w:numPr>
          <w:ilvl w:val="0"/>
          <w:numId w:val="14"/>
        </w:numPr>
        <w:suppressAutoHyphens/>
        <w:spacing w:before="120" w:after="120" w:line="312" w:lineRule="auto"/>
        <w:jc w:val="both"/>
        <w:rPr>
          <w:color w:val="000000" w:themeColor="text1"/>
        </w:rPr>
      </w:pPr>
      <w:r w:rsidRPr="003474BD">
        <w:rPr>
          <w:color w:val="000000" w:themeColor="text1"/>
        </w:rPr>
        <w:lastRenderedPageBreak/>
        <w:t>разходи за закупуване и/или доставка на ресурси, имащи характер на стоково-материални запаси (суровини, материали, полуобработени компоненти, консумативи, резервни части и др.);</w:t>
      </w:r>
    </w:p>
    <w:p w14:paraId="70C57F03" w14:textId="77777777" w:rsidR="003F1496" w:rsidRPr="003474BD" w:rsidRDefault="003F1496" w:rsidP="00A42091">
      <w:pPr>
        <w:numPr>
          <w:ilvl w:val="0"/>
          <w:numId w:val="14"/>
        </w:numPr>
        <w:suppressAutoHyphens/>
        <w:spacing w:before="120" w:after="120" w:line="312" w:lineRule="auto"/>
        <w:jc w:val="both"/>
        <w:rPr>
          <w:color w:val="000000" w:themeColor="text1"/>
        </w:rPr>
      </w:pPr>
      <w:r w:rsidRPr="003474BD">
        <w:rPr>
          <w:color w:val="000000" w:themeColor="text1"/>
        </w:rPr>
        <w:t>всички разходи, които не са предназначени за допустими дейности съгласно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тази дейност е допустима.</w:t>
      </w:r>
    </w:p>
    <w:p w14:paraId="63A6982A" w14:textId="1142105E" w:rsidR="003F1496" w:rsidRPr="003474BD" w:rsidRDefault="003F1496" w:rsidP="00A42091">
      <w:pPr>
        <w:pStyle w:val="Heading2"/>
        <w:suppressAutoHyphens/>
        <w:spacing w:after="120" w:line="312" w:lineRule="auto"/>
        <w:rPr>
          <w:rFonts w:ascii="Times New Roman" w:hAnsi="Times New Roman"/>
          <w:sz w:val="24"/>
          <w:szCs w:val="24"/>
        </w:rPr>
      </w:pPr>
      <w:bookmarkStart w:id="69" w:name="_Toc106285938"/>
      <w:bookmarkStart w:id="70" w:name="_Toc166258053"/>
      <w:r w:rsidRPr="003474BD">
        <w:rPr>
          <w:rFonts w:ascii="Times New Roman" w:hAnsi="Times New Roman"/>
          <w:sz w:val="24"/>
          <w:szCs w:val="24"/>
        </w:rPr>
        <w:t>1</w:t>
      </w:r>
      <w:r w:rsidR="007A3227" w:rsidRPr="003474BD">
        <w:rPr>
          <w:rFonts w:ascii="Times New Roman" w:hAnsi="Times New Roman"/>
          <w:sz w:val="24"/>
          <w:szCs w:val="24"/>
        </w:rPr>
        <w:t>5</w:t>
      </w:r>
      <w:r w:rsidRPr="003474BD">
        <w:rPr>
          <w:rFonts w:ascii="Times New Roman" w:hAnsi="Times New Roman"/>
          <w:sz w:val="24"/>
          <w:szCs w:val="24"/>
        </w:rPr>
        <w:t>. Допустими целеви групи:</w:t>
      </w:r>
      <w:bookmarkEnd w:id="69"/>
      <w:bookmarkEnd w:id="70"/>
    </w:p>
    <w:p w14:paraId="092869B0" w14:textId="2F57C42E" w:rsidR="003F1496" w:rsidRPr="003474BD" w:rsidRDefault="003F1496" w:rsidP="00A42091">
      <w:pPr>
        <w:suppressAutoHyphens/>
        <w:spacing w:before="120" w:after="120" w:line="312" w:lineRule="auto"/>
        <w:jc w:val="both"/>
      </w:pPr>
      <w:r w:rsidRPr="003474BD">
        <w:t xml:space="preserve">Процедурата е </w:t>
      </w:r>
      <w:r w:rsidR="003C00D5" w:rsidRPr="003474BD">
        <w:t>отворена</w:t>
      </w:r>
      <w:r w:rsidRPr="003474BD">
        <w:t xml:space="preserve"> </w:t>
      </w:r>
      <w:r w:rsidR="003C00D5" w:rsidRPr="003474BD">
        <w:t xml:space="preserve">за </w:t>
      </w:r>
      <w:r w:rsidR="00D939B1" w:rsidRPr="00482D64">
        <w:t xml:space="preserve">микро, </w:t>
      </w:r>
      <w:r w:rsidRPr="00482D64">
        <w:t>малки</w:t>
      </w:r>
      <w:r w:rsidRPr="003474BD">
        <w:t>, средни и големи предприятия.</w:t>
      </w:r>
    </w:p>
    <w:p w14:paraId="6E6B4406" w14:textId="3154FDDB" w:rsidR="003F1496" w:rsidRPr="003474BD" w:rsidRDefault="003F1496" w:rsidP="00A42091">
      <w:pPr>
        <w:suppressAutoHyphens/>
        <w:spacing w:before="120" w:after="120" w:line="312" w:lineRule="auto"/>
        <w:jc w:val="both"/>
        <w:rPr>
          <w:b/>
        </w:rPr>
      </w:pPr>
    </w:p>
    <w:p w14:paraId="241D9823" w14:textId="316FB4C5" w:rsidR="003F1496" w:rsidRPr="003474BD" w:rsidRDefault="003F1496" w:rsidP="00A42091">
      <w:pPr>
        <w:pStyle w:val="Heading2"/>
        <w:suppressAutoHyphens/>
        <w:spacing w:after="120" w:line="312" w:lineRule="auto"/>
        <w:rPr>
          <w:rFonts w:ascii="Times New Roman" w:hAnsi="Times New Roman"/>
          <w:sz w:val="24"/>
          <w:szCs w:val="24"/>
        </w:rPr>
      </w:pPr>
      <w:bookmarkStart w:id="71" w:name="_Toc106285940"/>
      <w:bookmarkStart w:id="72" w:name="_Toc166258054"/>
      <w:r w:rsidRPr="003474BD">
        <w:rPr>
          <w:rFonts w:ascii="Times New Roman" w:hAnsi="Times New Roman"/>
          <w:sz w:val="24"/>
          <w:szCs w:val="24"/>
        </w:rPr>
        <w:t>1</w:t>
      </w:r>
      <w:r w:rsidR="007A3227" w:rsidRPr="003474BD">
        <w:rPr>
          <w:rFonts w:ascii="Times New Roman" w:hAnsi="Times New Roman"/>
          <w:sz w:val="24"/>
          <w:szCs w:val="24"/>
        </w:rPr>
        <w:t>6</w:t>
      </w:r>
      <w:r w:rsidRPr="003474BD">
        <w:rPr>
          <w:rFonts w:ascii="Times New Roman" w:hAnsi="Times New Roman"/>
          <w:sz w:val="24"/>
          <w:szCs w:val="24"/>
        </w:rPr>
        <w:t>. Приложими хоризонтални принципи:</w:t>
      </w:r>
      <w:bookmarkEnd w:id="71"/>
      <w:bookmarkEnd w:id="72"/>
    </w:p>
    <w:p w14:paraId="73C75DA5" w14:textId="77777777" w:rsidR="00323EEA" w:rsidRPr="003474BD" w:rsidRDefault="00323EEA" w:rsidP="00A42091">
      <w:pPr>
        <w:suppressAutoHyphens/>
        <w:spacing w:before="120" w:after="120" w:line="312" w:lineRule="auto"/>
        <w:jc w:val="both"/>
      </w:pPr>
      <w:r w:rsidRPr="003474BD">
        <w:t xml:space="preserve">По настоящата процедура следва да е налице съответствие на предложенията за изпълнение на инвестиция със следните принципи: </w:t>
      </w:r>
    </w:p>
    <w:p w14:paraId="42607DF9" w14:textId="22305C4F" w:rsidR="00323EEA" w:rsidRPr="003474BD" w:rsidRDefault="00323EEA" w:rsidP="00A42091">
      <w:pPr>
        <w:suppressAutoHyphens/>
        <w:spacing w:before="120" w:after="120" w:line="312" w:lineRule="auto"/>
        <w:jc w:val="both"/>
      </w:pPr>
      <w:r w:rsidRPr="003474BD">
        <w:rPr>
          <w:b/>
        </w:rPr>
        <w:t>1)</w:t>
      </w:r>
      <w:r w:rsidRPr="003474BD">
        <w:t xml:space="preserve"> Предложенията за изпълнение на инвестиции следва да са в съответствие с принципа </w:t>
      </w:r>
      <w:r w:rsidRPr="004A6EC9">
        <w:t xml:space="preserve">за </w:t>
      </w:r>
      <w:r w:rsidR="00DC5756" w:rsidRPr="00A04518">
        <w:t>"</w:t>
      </w:r>
      <w:r w:rsidRPr="00A04518">
        <w:t>ненанасяне на значителни вреди</w:t>
      </w:r>
      <w:r w:rsidR="00DC5756" w:rsidRPr="00A04518">
        <w:t>"</w:t>
      </w:r>
      <w:r w:rsidRPr="00A04518">
        <w:rPr>
          <w:rStyle w:val="FootnoteReference"/>
        </w:rPr>
        <w:footnoteReference w:id="19"/>
      </w:r>
      <w:r w:rsidRPr="004A6EC9">
        <w:t>.</w:t>
      </w:r>
    </w:p>
    <w:p w14:paraId="0ACD9D31" w14:textId="77777777" w:rsidR="00323EEA" w:rsidRPr="003474BD" w:rsidRDefault="00323EEA" w:rsidP="00A42091">
      <w:pPr>
        <w:suppressAutoHyphens/>
        <w:spacing w:before="120" w:after="120" w:line="312" w:lineRule="auto"/>
        <w:jc w:val="both"/>
      </w:pPr>
      <w:r w:rsidRPr="003474BD">
        <w:t xml:space="preserve">Посоченият принцип изисква предложенията за изпълнение на инвестиции по настоящата процедура да НЕ водят до значителни вреди за следните </w:t>
      </w:r>
      <w:r w:rsidRPr="003474BD">
        <w:rPr>
          <w:b/>
        </w:rPr>
        <w:t>шест екологични цели</w:t>
      </w:r>
      <w:r w:rsidRPr="003474BD">
        <w:t>:</w:t>
      </w:r>
    </w:p>
    <w:p w14:paraId="0D140B37" w14:textId="77777777" w:rsidR="00323EEA" w:rsidRPr="003474BD" w:rsidRDefault="00323EEA" w:rsidP="00A42091">
      <w:pPr>
        <w:suppressAutoHyphens/>
        <w:spacing w:before="120" w:after="120" w:line="312" w:lineRule="auto"/>
        <w:jc w:val="both"/>
      </w:pPr>
      <w:r w:rsidRPr="003474BD">
        <w:t>а) смекчаване на изменението на климата;</w:t>
      </w:r>
    </w:p>
    <w:p w14:paraId="54FEE91D" w14:textId="77777777" w:rsidR="00323EEA" w:rsidRPr="003474BD" w:rsidRDefault="00323EEA" w:rsidP="00A42091">
      <w:pPr>
        <w:suppressAutoHyphens/>
        <w:spacing w:before="120" w:after="120" w:line="312" w:lineRule="auto"/>
        <w:jc w:val="both"/>
      </w:pPr>
      <w:r w:rsidRPr="003474BD">
        <w:t>б) адаптиране към изменението на климата;</w:t>
      </w:r>
    </w:p>
    <w:p w14:paraId="5241D6D9" w14:textId="77777777" w:rsidR="00323EEA" w:rsidRPr="003474BD" w:rsidRDefault="00323EEA" w:rsidP="00A42091">
      <w:pPr>
        <w:suppressAutoHyphens/>
        <w:spacing w:before="120" w:after="120" w:line="312" w:lineRule="auto"/>
        <w:jc w:val="both"/>
      </w:pPr>
      <w:r w:rsidRPr="003474BD">
        <w:t>в) устойчиво използване и опазване на водните и морските ресурси;</w:t>
      </w:r>
    </w:p>
    <w:p w14:paraId="42DC3074" w14:textId="77777777" w:rsidR="00323EEA" w:rsidRPr="003474BD" w:rsidRDefault="00323EEA" w:rsidP="00A42091">
      <w:pPr>
        <w:suppressAutoHyphens/>
        <w:spacing w:before="120" w:after="120" w:line="312" w:lineRule="auto"/>
        <w:jc w:val="both"/>
      </w:pPr>
      <w:r w:rsidRPr="003474BD">
        <w:t>г) преход към кръгова икономика;</w:t>
      </w:r>
    </w:p>
    <w:p w14:paraId="143BA204" w14:textId="77777777" w:rsidR="00323EEA" w:rsidRPr="003474BD" w:rsidRDefault="00323EEA" w:rsidP="00A42091">
      <w:pPr>
        <w:suppressAutoHyphens/>
        <w:spacing w:before="120" w:after="120" w:line="312" w:lineRule="auto"/>
        <w:jc w:val="both"/>
      </w:pPr>
      <w:r w:rsidRPr="003474BD">
        <w:t>д) предотвратяване и контрол на замърсяването;</w:t>
      </w:r>
    </w:p>
    <w:p w14:paraId="4EC33F0E" w14:textId="77777777" w:rsidR="00323EEA" w:rsidRPr="003474BD" w:rsidRDefault="00323EEA" w:rsidP="00A42091">
      <w:pPr>
        <w:suppressAutoHyphens/>
        <w:spacing w:before="120" w:after="120" w:line="312" w:lineRule="auto"/>
        <w:jc w:val="both"/>
      </w:pPr>
      <w:r w:rsidRPr="003474BD">
        <w:t>е) защита и възстановяване на биологичното разнообразие и екосистемите.</w:t>
      </w:r>
    </w:p>
    <w:p w14:paraId="1E42E73A" w14:textId="3C9FE0E6" w:rsidR="00323EEA" w:rsidRPr="003474BD" w:rsidRDefault="00323EEA" w:rsidP="00A42091">
      <w:pPr>
        <w:suppressAutoHyphens/>
        <w:spacing w:before="120" w:after="120" w:line="312" w:lineRule="auto"/>
        <w:jc w:val="both"/>
        <w:rPr>
          <w:b/>
        </w:rPr>
      </w:pPr>
      <w:r w:rsidRPr="003474BD">
        <w:rPr>
          <w:b/>
        </w:rPr>
        <w:t xml:space="preserve">Подробна информация относно спазване на принципа за </w:t>
      </w:r>
      <w:r w:rsidR="00DC5756" w:rsidRPr="003474BD">
        <w:rPr>
          <w:b/>
        </w:rPr>
        <w:t>"</w:t>
      </w:r>
      <w:r w:rsidRPr="003474BD">
        <w:rPr>
          <w:b/>
        </w:rPr>
        <w:t>ненанасяне на значителни вреди</w:t>
      </w:r>
      <w:r w:rsidR="00DC5756" w:rsidRPr="003474BD">
        <w:rPr>
          <w:b/>
        </w:rPr>
        <w:t>"</w:t>
      </w:r>
      <w:r w:rsidRPr="003474BD">
        <w:rPr>
          <w:b/>
        </w:rPr>
        <w:t xml:space="preserve"> е налична в </w:t>
      </w:r>
      <w:r w:rsidRPr="0013228F">
        <w:rPr>
          <w:b/>
        </w:rPr>
        <w:t xml:space="preserve">Приложение </w:t>
      </w:r>
      <w:r w:rsidR="0013228F" w:rsidRPr="00E57C4A">
        <w:rPr>
          <w:b/>
        </w:rPr>
        <w:t>6</w:t>
      </w:r>
      <w:r w:rsidRPr="0013228F">
        <w:rPr>
          <w:b/>
        </w:rPr>
        <w:t xml:space="preserve"> към</w:t>
      </w:r>
      <w:r w:rsidRPr="003474BD">
        <w:rPr>
          <w:b/>
        </w:rPr>
        <w:t xml:space="preserve"> Условията за кандидатстване.</w:t>
      </w:r>
    </w:p>
    <w:p w14:paraId="07AD522C" w14:textId="77777777" w:rsidR="00323EEA" w:rsidRPr="003474BD" w:rsidRDefault="00323EEA"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pPr>
      <w:r w:rsidRPr="003474BD">
        <w:rPr>
          <w:b/>
        </w:rPr>
        <w:t xml:space="preserve">ВАЖНО: </w:t>
      </w:r>
      <w:r w:rsidRPr="003474BD">
        <w:t>Спазването на този принцип се установява:</w:t>
      </w:r>
    </w:p>
    <w:p w14:paraId="1F361B02" w14:textId="77777777" w:rsidR="00323EEA" w:rsidRPr="003474BD" w:rsidRDefault="00323EEA"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pPr>
      <w:r w:rsidRPr="003474BD">
        <w:lastRenderedPageBreak/>
        <w:t>1.1. На етапа на кандидатстване – чрез:</w:t>
      </w:r>
    </w:p>
    <w:p w14:paraId="79B6D7F7" w14:textId="5C83BBCF" w:rsidR="00323EEA" w:rsidRPr="003474BD" w:rsidRDefault="00323EEA"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pPr>
      <w:r w:rsidRPr="003474BD">
        <w:t>-</w:t>
      </w:r>
      <w:r w:rsidRPr="003474BD">
        <w:tab/>
        <w:t xml:space="preserve">самооценка (обосновка) от кандидатите чрез попълване на </w:t>
      </w:r>
      <w:bookmarkStart w:id="73" w:name="_Hlk146559436"/>
      <w:r w:rsidRPr="003474BD">
        <w:t xml:space="preserve">формуляр за самооценка (по образец) – </w:t>
      </w:r>
      <w:r w:rsidR="002D2553" w:rsidRPr="003474BD">
        <w:t>П</w:t>
      </w:r>
      <w:r w:rsidRPr="003474BD">
        <w:t xml:space="preserve">риложение </w:t>
      </w:r>
      <w:r w:rsidR="0013228F">
        <w:t>7</w:t>
      </w:r>
      <w:r w:rsidR="002D2553" w:rsidRPr="003474BD">
        <w:t xml:space="preserve"> </w:t>
      </w:r>
      <w:bookmarkEnd w:id="73"/>
      <w:r w:rsidRPr="003474BD">
        <w:t xml:space="preserve">към формуляра за кандидатстване, че предложението за изпълнение на инвестиция съблюдава принципа за </w:t>
      </w:r>
      <w:r w:rsidR="00DC5756" w:rsidRPr="003474BD">
        <w:t>"</w:t>
      </w:r>
      <w:r w:rsidRPr="003474BD">
        <w:t>ненанасяне на значителни вреди</w:t>
      </w:r>
      <w:r w:rsidR="00DC5756" w:rsidRPr="003474BD">
        <w:t>"</w:t>
      </w:r>
      <w:r w:rsidRPr="003474BD">
        <w:t xml:space="preserve"> по отношение на всяка от шестте екологични цели, определени в член 9 на Регламент (ЕС) 2020/852 за създаване на рамка за улесняване на устойчивите инвестиции  и за изменение на Регламент (ЕС) 2019/2088 (</w:t>
      </w:r>
      <w:r w:rsidR="00DC5756" w:rsidRPr="003474BD">
        <w:t>"</w:t>
      </w:r>
      <w:r w:rsidRPr="003474BD">
        <w:t>регламент за таксономията</w:t>
      </w:r>
      <w:r w:rsidR="00DC5756" w:rsidRPr="003474BD">
        <w:t>"</w:t>
      </w:r>
      <w:r w:rsidRPr="003474BD">
        <w:t xml:space="preserve">), а именно: а) смекчаване на изменението на климата; б) адаптиране към изменението на климата; в) устойчиво използване и опазване на водните и морските ресурси; г) преход към кръгова икономика; д) предотвратяване и контрол на замърсяването; е) защита и възстановяване на водното биоразнообразие и на водните екосистеми, в съответствие с Техническите насоки на ЕК </w:t>
      </w:r>
      <w:r w:rsidR="00DC5756" w:rsidRPr="003474BD">
        <w:t>"</w:t>
      </w:r>
      <w:r w:rsidRPr="003474BD">
        <w:t>Ненанасяне на значителни вреди</w:t>
      </w:r>
      <w:r w:rsidR="00DC5756" w:rsidRPr="003474BD">
        <w:t>"</w:t>
      </w:r>
      <w:r w:rsidRPr="003474BD">
        <w:t xml:space="preserve"> (2021/C58/01); </w:t>
      </w:r>
    </w:p>
    <w:p w14:paraId="7688206E" w14:textId="154B8898" w:rsidR="00323EEA" w:rsidRPr="003474BD" w:rsidRDefault="00323EEA"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pPr>
      <w:r w:rsidRPr="003474BD">
        <w:t>-</w:t>
      </w:r>
      <w:r w:rsidRPr="003474BD">
        <w:tab/>
        <w:t xml:space="preserve">проверка за приемливост на самооценката от оценителната комисия като част от оценката за допустимост на предложението за изпълнение на инвестиция. Липсата на обоснована информация във Формуляра за самооценка, която да дава увереност за съответствие на предложението с принципа за </w:t>
      </w:r>
      <w:r w:rsidR="00DC5756" w:rsidRPr="003474BD">
        <w:t>"</w:t>
      </w:r>
      <w:r w:rsidRPr="003474BD">
        <w:t>ненанасяне на значителни вреди</w:t>
      </w:r>
      <w:r w:rsidR="00DC5756" w:rsidRPr="003474BD">
        <w:t>"</w:t>
      </w:r>
      <w:r w:rsidRPr="003474BD">
        <w:t xml:space="preserve">, ще бъде основание за </w:t>
      </w:r>
      <w:r w:rsidRPr="003474BD">
        <w:rPr>
          <w:b/>
        </w:rPr>
        <w:t>отхвърляне на съответното предложение за изпълнение на инвестиция</w:t>
      </w:r>
      <w:r w:rsidRPr="003474BD">
        <w:t>.</w:t>
      </w:r>
    </w:p>
    <w:p w14:paraId="5F5105FC" w14:textId="4F6C71E8" w:rsidR="00323EEA" w:rsidRPr="004A6EC9" w:rsidRDefault="00323EEA"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pPr>
      <w:r w:rsidRPr="003474BD">
        <w:t xml:space="preserve">Инструкции за попълването на формуляра за самооценка относно съблюдаване на принципа за ненанасяне на </w:t>
      </w:r>
      <w:r w:rsidRPr="004A6EC9">
        <w:t xml:space="preserve">значителни вреди са дадени в документа </w:t>
      </w:r>
      <w:r w:rsidR="0013228F">
        <w:t>И</w:t>
      </w:r>
      <w:r w:rsidR="0013228F" w:rsidRPr="0013228F">
        <w:t>нформация относно спазване на принципа за „ненанасяне на значителни вреди</w:t>
      </w:r>
      <w:r w:rsidRPr="004A6EC9">
        <w:t xml:space="preserve"> – </w:t>
      </w:r>
      <w:r w:rsidR="009E1720" w:rsidRPr="004A6EC9">
        <w:t>П</w:t>
      </w:r>
      <w:r w:rsidRPr="004A6EC9">
        <w:t xml:space="preserve">риложение </w:t>
      </w:r>
      <w:r w:rsidR="0013228F">
        <w:t>6</w:t>
      </w:r>
      <w:r w:rsidRPr="004A6EC9">
        <w:t xml:space="preserve"> към настоящите Условия за кандидатстване.</w:t>
      </w:r>
    </w:p>
    <w:p w14:paraId="425F6F49" w14:textId="08F6846B" w:rsidR="00323EEA" w:rsidRPr="003474BD" w:rsidRDefault="00323EEA" w:rsidP="00A42091">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pPr>
      <w:r w:rsidRPr="004A6EC9">
        <w:t xml:space="preserve">1.2. В края на изпълнението на инвестицията – чрез контрол от страна на СНД, включително, ако е необходимо, </w:t>
      </w:r>
      <w:r w:rsidRPr="00A04518">
        <w:t xml:space="preserve">чрез изготвен от независим одитор технически доклад за удостоверяване на спазването на изискванията на Техническите насоки за прилагането на принципа за </w:t>
      </w:r>
      <w:r w:rsidR="00DC5756" w:rsidRPr="00A04518">
        <w:t>"</w:t>
      </w:r>
      <w:r w:rsidRPr="00A04518">
        <w:t>ненанасяне на значителни вреди</w:t>
      </w:r>
      <w:r w:rsidR="00DC5756" w:rsidRPr="00A04518">
        <w:t>"</w:t>
      </w:r>
      <w:r w:rsidRPr="00A04518">
        <w:t xml:space="preserve"> съгласно Регламента за Механизма за възстановяване и устойчивост (2021/C 58/01) за сметка на бенефициента</w:t>
      </w:r>
      <w:r w:rsidRPr="004A6EC9">
        <w:t>.</w:t>
      </w:r>
    </w:p>
    <w:p w14:paraId="7DDCCDC8" w14:textId="77777777" w:rsidR="003F1496" w:rsidRPr="003474BD" w:rsidRDefault="003F1496" w:rsidP="00A42091">
      <w:pPr>
        <w:suppressAutoHyphens/>
        <w:spacing w:before="120" w:after="120" w:line="312" w:lineRule="auto"/>
        <w:jc w:val="both"/>
        <w:rPr>
          <w:b/>
        </w:rPr>
      </w:pPr>
    </w:p>
    <w:p w14:paraId="1ACF7F20" w14:textId="58305E95" w:rsidR="003F1496" w:rsidRPr="003474BD" w:rsidRDefault="003F1496" w:rsidP="00A42091">
      <w:pPr>
        <w:pStyle w:val="Heading2"/>
        <w:suppressAutoHyphens/>
        <w:spacing w:after="120" w:line="312" w:lineRule="auto"/>
        <w:rPr>
          <w:rFonts w:ascii="Times New Roman" w:hAnsi="Times New Roman"/>
          <w:sz w:val="24"/>
          <w:szCs w:val="24"/>
        </w:rPr>
      </w:pPr>
      <w:bookmarkStart w:id="74" w:name="_Toc106285941"/>
      <w:bookmarkStart w:id="75" w:name="_Toc166258055"/>
      <w:r w:rsidRPr="003474BD">
        <w:rPr>
          <w:rFonts w:ascii="Times New Roman" w:hAnsi="Times New Roman"/>
          <w:sz w:val="24"/>
          <w:szCs w:val="24"/>
        </w:rPr>
        <w:t>1</w:t>
      </w:r>
      <w:r w:rsidR="007A3227" w:rsidRPr="003474BD">
        <w:rPr>
          <w:rFonts w:ascii="Times New Roman" w:hAnsi="Times New Roman"/>
          <w:sz w:val="24"/>
          <w:szCs w:val="24"/>
        </w:rPr>
        <w:t>7</w:t>
      </w:r>
      <w:r w:rsidRPr="003474BD">
        <w:rPr>
          <w:rFonts w:ascii="Times New Roman" w:hAnsi="Times New Roman"/>
          <w:sz w:val="24"/>
          <w:szCs w:val="24"/>
        </w:rPr>
        <w:t>. Минимален и максимален срок за изпълнение на предложението за изпълнение на инвестиция:</w:t>
      </w:r>
      <w:bookmarkEnd w:id="74"/>
      <w:bookmarkEnd w:id="75"/>
    </w:p>
    <w:p w14:paraId="254C9FB4" w14:textId="62F618FB" w:rsidR="003F1496" w:rsidRPr="003474BD" w:rsidRDefault="008B2C23" w:rsidP="00A42091">
      <w:pPr>
        <w:suppressAutoHyphens/>
        <w:spacing w:before="120" w:after="120" w:line="312" w:lineRule="auto"/>
        <w:jc w:val="both"/>
        <w:rPr>
          <w:color w:val="000000" w:themeColor="text1"/>
        </w:rPr>
      </w:pPr>
      <w:r w:rsidRPr="003474BD">
        <w:rPr>
          <w:color w:val="000000" w:themeColor="text1"/>
        </w:rPr>
        <w:t>Инвестицията следва да се реализира</w:t>
      </w:r>
      <w:r w:rsidR="003C00D5" w:rsidRPr="003474BD">
        <w:rPr>
          <w:color w:val="000000" w:themeColor="text1"/>
        </w:rPr>
        <w:t xml:space="preserve"> (</w:t>
      </w:r>
      <w:r w:rsidR="00C248BD" w:rsidRPr="003474BD">
        <w:rPr>
          <w:color w:val="000000" w:themeColor="text1"/>
        </w:rPr>
        <w:t xml:space="preserve">изградени и </w:t>
      </w:r>
      <w:r w:rsidR="003C00D5" w:rsidRPr="003474BD">
        <w:rPr>
          <w:color w:val="000000" w:themeColor="text1"/>
        </w:rPr>
        <w:t xml:space="preserve">въведени в експлоатация </w:t>
      </w:r>
      <w:r w:rsidR="00A0548B" w:rsidRPr="003474BD">
        <w:rPr>
          <w:color w:val="000000" w:themeColor="text1"/>
        </w:rPr>
        <w:t>съоръжения за съхранение</w:t>
      </w:r>
      <w:r w:rsidR="003C00D5" w:rsidRPr="003474BD">
        <w:rPr>
          <w:color w:val="000000" w:themeColor="text1"/>
        </w:rPr>
        <w:t xml:space="preserve"> на </w:t>
      </w:r>
      <w:r w:rsidR="00C807BE" w:rsidRPr="003474BD">
        <w:rPr>
          <w:color w:val="000000" w:themeColor="text1"/>
        </w:rPr>
        <w:t>електрическа енергия</w:t>
      </w:r>
      <w:r w:rsidR="003C00D5" w:rsidRPr="003474BD">
        <w:rPr>
          <w:color w:val="000000" w:themeColor="text1"/>
        </w:rPr>
        <w:t>)</w:t>
      </w:r>
      <w:r w:rsidRPr="003474BD">
        <w:rPr>
          <w:color w:val="000000" w:themeColor="text1"/>
        </w:rPr>
        <w:t xml:space="preserve"> най-късно до 31 март 2026 г.</w:t>
      </w:r>
      <w:r w:rsidR="00C248BD" w:rsidRPr="003474BD">
        <w:rPr>
          <w:color w:val="000000" w:themeColor="text1"/>
        </w:rPr>
        <w:t xml:space="preserve">, като </w:t>
      </w:r>
      <w:r w:rsidR="004A6EC9" w:rsidRPr="003474BD">
        <w:rPr>
          <w:color w:val="000000" w:themeColor="text1"/>
        </w:rPr>
        <w:t xml:space="preserve">копие от </w:t>
      </w:r>
      <w:r w:rsidR="00E713A3" w:rsidRPr="003474BD">
        <w:rPr>
          <w:color w:val="000000" w:themeColor="text1"/>
        </w:rPr>
        <w:t>протокол за преминали тестове за доказване на параметри за осигуряване на резерви</w:t>
      </w:r>
      <w:r w:rsidR="004A6EC9" w:rsidRPr="008B68CE">
        <w:rPr>
          <w:color w:val="000000" w:themeColor="text1"/>
        </w:rPr>
        <w:t xml:space="preserve"> </w:t>
      </w:r>
      <w:r w:rsidR="00C248BD" w:rsidRPr="00A04518">
        <w:rPr>
          <w:color w:val="000000" w:themeColor="text1"/>
        </w:rPr>
        <w:t>трябва да е предоставен</w:t>
      </w:r>
      <w:r w:rsidR="00E713A3">
        <w:rPr>
          <w:color w:val="000000" w:themeColor="text1"/>
          <w:lang w:val="en-US"/>
        </w:rPr>
        <w:t>o</w:t>
      </w:r>
      <w:r w:rsidR="00C248BD" w:rsidRPr="00A04518">
        <w:rPr>
          <w:color w:val="000000" w:themeColor="text1"/>
        </w:rPr>
        <w:t xml:space="preserve"> от кандидата не по-късно от 31 май 2026 г</w:t>
      </w:r>
      <w:r w:rsidR="00C248BD" w:rsidRPr="008B68CE">
        <w:rPr>
          <w:color w:val="000000" w:themeColor="text1"/>
        </w:rPr>
        <w:t>.</w:t>
      </w:r>
    </w:p>
    <w:p w14:paraId="07979542" w14:textId="7485142A" w:rsidR="003F1496" w:rsidRPr="003474BD" w:rsidRDefault="003F1496" w:rsidP="00A42091">
      <w:pPr>
        <w:suppressAutoHyphens/>
        <w:spacing w:before="120" w:after="120" w:line="312" w:lineRule="auto"/>
        <w:jc w:val="both"/>
        <w:rPr>
          <w:b/>
        </w:rPr>
      </w:pPr>
    </w:p>
    <w:p w14:paraId="5D45C8C9" w14:textId="0E2802E8" w:rsidR="003F1496" w:rsidRPr="003474BD" w:rsidRDefault="003F1496" w:rsidP="004B686C">
      <w:pPr>
        <w:pStyle w:val="Heading2"/>
        <w:suppressAutoHyphens/>
        <w:spacing w:after="120" w:line="312" w:lineRule="auto"/>
        <w:ind w:firstLine="709"/>
        <w:rPr>
          <w:rFonts w:ascii="Times New Roman" w:hAnsi="Times New Roman"/>
          <w:sz w:val="24"/>
          <w:szCs w:val="24"/>
        </w:rPr>
      </w:pPr>
      <w:bookmarkStart w:id="76" w:name="_Toc106285944"/>
      <w:bookmarkStart w:id="77" w:name="_Toc166258056"/>
      <w:r w:rsidRPr="003474BD">
        <w:rPr>
          <w:rFonts w:ascii="Times New Roman" w:hAnsi="Times New Roman"/>
          <w:sz w:val="24"/>
          <w:szCs w:val="24"/>
        </w:rPr>
        <w:t>1</w:t>
      </w:r>
      <w:r w:rsidR="009E1720" w:rsidRPr="003474BD">
        <w:rPr>
          <w:rFonts w:ascii="Times New Roman" w:hAnsi="Times New Roman"/>
          <w:sz w:val="24"/>
          <w:szCs w:val="24"/>
        </w:rPr>
        <w:t>8</w:t>
      </w:r>
      <w:r w:rsidRPr="003474BD">
        <w:rPr>
          <w:rFonts w:ascii="Times New Roman" w:hAnsi="Times New Roman"/>
          <w:sz w:val="24"/>
          <w:szCs w:val="24"/>
        </w:rPr>
        <w:t>. Ред за оценяване на предложенията за изпълнение на инвестиция:</w:t>
      </w:r>
      <w:bookmarkEnd w:id="76"/>
      <w:bookmarkEnd w:id="77"/>
    </w:p>
    <w:p w14:paraId="670D41C3" w14:textId="3A1476B2" w:rsidR="003C00D5" w:rsidRPr="003474BD" w:rsidRDefault="003C00D5" w:rsidP="003C00D5">
      <w:pPr>
        <w:spacing w:before="120" w:after="120" w:line="312" w:lineRule="auto"/>
        <w:jc w:val="both"/>
      </w:pPr>
      <w:r w:rsidRPr="003474BD">
        <w:t xml:space="preserve">Получаване на безвъзмездни средства по настоящата инвестиция ще се извършва след провеждане на конкурентна тръжна процедура чрез подбор за изпълнение на инвестиции от крайни получатели съгласно ПМС 114/08.06.2022 г. и </w:t>
      </w:r>
      <w:r w:rsidR="00323BB6" w:rsidRPr="003474BD">
        <w:t>раздел 2.5.1, точка 77, буква e), подточка (i) на ВРКП</w:t>
      </w:r>
      <w:r w:rsidRPr="003474BD">
        <w:t>.</w:t>
      </w:r>
    </w:p>
    <w:p w14:paraId="02A0B47A" w14:textId="77777777" w:rsidR="003C00D5" w:rsidRPr="003474BD" w:rsidRDefault="003C00D5" w:rsidP="003C00D5">
      <w:pPr>
        <w:spacing w:before="120" w:after="120" w:line="312" w:lineRule="auto"/>
        <w:jc w:val="both"/>
      </w:pPr>
      <w:r w:rsidRPr="003474BD">
        <w:t>Предложението за инвестиция от крайния получател се оценява в съответствие с критериите, посочени в Условия за кандидатстване. Оценката се извършва чрез Информационната система на Националния план за възстановяване и устойчивост (ИСМ) и се документира чрез попълване на таблици.</w:t>
      </w:r>
    </w:p>
    <w:p w14:paraId="6A386F9B" w14:textId="3BFE68D1" w:rsidR="003C00D5" w:rsidRPr="003474BD" w:rsidRDefault="003C00D5" w:rsidP="003C00D5">
      <w:pPr>
        <w:spacing w:before="120" w:after="120" w:line="312" w:lineRule="auto"/>
        <w:jc w:val="both"/>
      </w:pPr>
      <w:r w:rsidRPr="003474BD">
        <w:t xml:space="preserve">Заинтересованите лица могат да искат разяснения по Условията за кандидатстване до 21 дни преди изтичането на срока за кандидатстване. Въпросите се задават в писмена форма чрез електронната система ИСМ, секция </w:t>
      </w:r>
      <w:r w:rsidR="00DC5756" w:rsidRPr="003474BD">
        <w:t>"</w:t>
      </w:r>
      <w:r w:rsidRPr="003474BD">
        <w:t>Разяснения по процедурата</w:t>
      </w:r>
      <w:r w:rsidR="00DC5756" w:rsidRPr="003474BD">
        <w:t>"</w:t>
      </w:r>
      <w:r w:rsidRPr="003474BD">
        <w:t>. Разясненията се утвърждават от ръководителя на СНД. 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 Разясненията се публикуват на интернет страницата на СНД и в ИСМ в 10-дневен срок от получаването на искането, но не по-късно от 14 дни преди изтичането на срока за кандидатстване. В разясненията не се посочва лицето, направило запитването.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21E6B80" w14:textId="78DE7675" w:rsidR="003C00D5" w:rsidRPr="003474BD" w:rsidRDefault="003C00D5" w:rsidP="003C00D5">
      <w:pPr>
        <w:spacing w:before="120" w:after="120" w:line="312" w:lineRule="auto"/>
        <w:jc w:val="both"/>
      </w:pPr>
      <w:r w:rsidRPr="003474BD">
        <w:t xml:space="preserve">Съгласно чл. 5, ал. 6 на ПМС 114 /2022 г. след откриване на конкурентната тръжна процедура чрез подбор за изпълнение на инвестиции от крайни получатели, утвърдените Условия за кандидатстване може да се изменят само: 1) при промени в правото на Европейския съюз и/или българското законодателство или в политиката на европейско и/или национално ниво, които налагат привеждане на документите в съответствие с тях; 2) за увеличаване на общия финансов ресурс по инвестицията; 3) за удължаване на срока за подаване на предложения за изпълнение на инвестицията; 4) при изменение на Плана за възстановяване и устойчивост, доколкото това не води до нарушение на </w:t>
      </w:r>
      <w:r w:rsidR="00297387">
        <w:t>ВРКП</w:t>
      </w:r>
      <w:r w:rsidRPr="003474BD">
        <w:t>.</w:t>
      </w:r>
    </w:p>
    <w:p w14:paraId="340EBDFB" w14:textId="77777777" w:rsidR="003C00D5" w:rsidRPr="003474BD" w:rsidRDefault="003C00D5" w:rsidP="003C00D5">
      <w:pPr>
        <w:spacing w:before="120" w:after="120" w:line="312" w:lineRule="auto"/>
        <w:jc w:val="both"/>
      </w:pPr>
      <w:r w:rsidRPr="003474BD">
        <w:t xml:space="preserve">След изтичането на крайния срок за подаване на предложения ръководителят на СНД назначава със заповед комисия, която да извърши оценяване и класиране на предложенията по процедурата (оценителна комисия). Комисията се назначава в 7-дневен срок от изтичането на крайния срок за подаване на предложения. Оценяването и класирането на </w:t>
      </w:r>
      <w:r w:rsidRPr="003474BD">
        <w:lastRenderedPageBreak/>
        <w:t>предложенията се извършва до три месеца от назначаването на Комисията, освен ако по изключение в заповедта за назначаването ѝ не е посочен по-дълъг срок, който не може да бъде по-дълъг от 4 месеца.</w:t>
      </w:r>
    </w:p>
    <w:p w14:paraId="349B0DAB" w14:textId="77777777" w:rsidR="003C00D5" w:rsidRPr="003474BD" w:rsidRDefault="003C00D5" w:rsidP="003C00D5">
      <w:pPr>
        <w:spacing w:before="120" w:after="120" w:line="312" w:lineRule="auto"/>
        <w:jc w:val="both"/>
      </w:pPr>
      <w:r w:rsidRPr="003474BD">
        <w:t>Оценката на постъпилите предложения за изпълнение на инвестиция се извършват на основание чл. 17 от ПМС № 114/2022 г. на един етап по Критерии за административна допустимост и оценка на качеството.</w:t>
      </w:r>
    </w:p>
    <w:p w14:paraId="3B681789" w14:textId="6BA78717" w:rsidR="003C00D5" w:rsidRPr="003474BD" w:rsidRDefault="003C00D5" w:rsidP="003C00D5">
      <w:pPr>
        <w:spacing w:before="120" w:after="120" w:line="312" w:lineRule="auto"/>
        <w:jc w:val="both"/>
      </w:pPr>
      <w:r w:rsidRPr="003474BD">
        <w:t>Класирането на предложенията ще се извършва въз основа на поисканата безвъзмездна помощ за 1 MW</w:t>
      </w:r>
      <w:r w:rsidR="00BB6A72" w:rsidRPr="003474BD">
        <w:t>h</w:t>
      </w:r>
      <w:r w:rsidRPr="003474BD">
        <w:t xml:space="preserve"> </w:t>
      </w:r>
      <w:r w:rsidR="00C103F9" w:rsidRPr="003474BD">
        <w:t xml:space="preserve">използваем енергиен </w:t>
      </w:r>
      <w:r w:rsidR="00BB6A72" w:rsidRPr="003474BD">
        <w:t>капацитет</w:t>
      </w:r>
      <w:r w:rsidRPr="003474BD">
        <w:t xml:space="preserve"> за </w:t>
      </w:r>
      <w:r w:rsidR="00BB6A72" w:rsidRPr="003474BD">
        <w:t xml:space="preserve">съхранение </w:t>
      </w:r>
      <w:r w:rsidRPr="003474BD">
        <w:t>на електрическа енергия от В</w:t>
      </w:r>
      <w:r w:rsidR="00BB6A72" w:rsidRPr="003474BD">
        <w:t>E</w:t>
      </w:r>
      <w:r w:rsidRPr="003474BD">
        <w:t xml:space="preserve">И. </w:t>
      </w:r>
    </w:p>
    <w:p w14:paraId="235BC860" w14:textId="77777777" w:rsidR="003C00D5" w:rsidRPr="003474BD" w:rsidRDefault="003C00D5" w:rsidP="003C00D5">
      <w:pPr>
        <w:pStyle w:val="ListParagraph"/>
        <w:numPr>
          <w:ilvl w:val="0"/>
          <w:numId w:val="22"/>
        </w:numPr>
        <w:spacing w:line="312" w:lineRule="auto"/>
        <w:rPr>
          <w:rFonts w:ascii="Times New Roman" w:hAnsi="Times New Roman"/>
          <w:b/>
          <w:bCs/>
          <w:sz w:val="24"/>
          <w:szCs w:val="24"/>
        </w:rPr>
      </w:pPr>
      <w:r w:rsidRPr="003474BD">
        <w:rPr>
          <w:rFonts w:ascii="Times New Roman" w:hAnsi="Times New Roman"/>
          <w:b/>
          <w:bCs/>
          <w:sz w:val="24"/>
          <w:szCs w:val="24"/>
        </w:rPr>
        <w:t>Оценка на административното съответствие и допустимостта</w:t>
      </w:r>
    </w:p>
    <w:p w14:paraId="1322CA0B" w14:textId="318F9919" w:rsidR="003C00D5" w:rsidRPr="003474BD" w:rsidRDefault="003C00D5" w:rsidP="003C00D5">
      <w:pPr>
        <w:spacing w:before="120" w:after="120" w:line="312" w:lineRule="auto"/>
        <w:jc w:val="both"/>
      </w:pPr>
      <w:r w:rsidRPr="003474BD">
        <w:t xml:space="preserve">Всички предложения за изпълнение на инвестиция, подадени в срок, се оценяват в съответствие с критериите за допустимост на предложенията за изпълнение на инвестиция по процедурата, посочени в </w:t>
      </w:r>
      <w:bookmarkStart w:id="78" w:name="_Hlk169708265"/>
      <w:r w:rsidR="00297387">
        <w:t>К</w:t>
      </w:r>
      <w:r w:rsidR="00297387" w:rsidRPr="00297387">
        <w:t>ритерии и методология за оценка на предложенията за осъществяване на инвестиции</w:t>
      </w:r>
      <w:bookmarkEnd w:id="78"/>
      <w:r w:rsidR="00297387" w:rsidRPr="00297387">
        <w:t xml:space="preserve"> </w:t>
      </w:r>
      <w:r w:rsidR="00297387">
        <w:t xml:space="preserve">- </w:t>
      </w:r>
      <w:r w:rsidRPr="00297387">
        <w:t xml:space="preserve">Приложение </w:t>
      </w:r>
      <w:r w:rsidR="00297387" w:rsidRPr="00E57C4A">
        <w:t>9</w:t>
      </w:r>
      <w:r w:rsidRPr="00297387">
        <w:t xml:space="preserve"> към</w:t>
      </w:r>
      <w:r w:rsidRPr="003474BD">
        <w:t xml:space="preserve"> Условията за кандидатстване. </w:t>
      </w:r>
    </w:p>
    <w:p w14:paraId="38ADC031" w14:textId="77777777" w:rsidR="003C00D5" w:rsidRPr="003474BD" w:rsidRDefault="003C00D5" w:rsidP="003C00D5">
      <w:pPr>
        <w:spacing w:before="120" w:after="120" w:line="312" w:lineRule="auto"/>
        <w:jc w:val="both"/>
      </w:pPr>
      <w:r w:rsidRPr="003474BD">
        <w:t>В процеса на оценка на предложенията за изпълнение на инвестиция по процедурата, ще бъде проверявано дали предложението за изпълнение на инвестиция отговаря на всички критерии за допустимост и пълнота на приложените документи.</w:t>
      </w:r>
    </w:p>
    <w:p w14:paraId="7CB2FA7A" w14:textId="77777777" w:rsidR="003C00D5" w:rsidRPr="003474BD" w:rsidRDefault="003C00D5" w:rsidP="003C00D5">
      <w:pPr>
        <w:spacing w:before="120" w:after="120" w:line="312" w:lineRule="auto"/>
        <w:jc w:val="both"/>
      </w:pPr>
      <w:r w:rsidRPr="003474BD">
        <w:t>Оценителната комисия може да изисква допълнителна пояснителна информация от кандидатите, като определи разумен за предоставянето ѝ срок. Тази възможност не може да води до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794022FD" w14:textId="5C4316DB" w:rsidR="003C00D5" w:rsidRPr="003474BD" w:rsidRDefault="003C00D5" w:rsidP="003C00D5">
      <w:pPr>
        <w:spacing w:before="120" w:after="120" w:line="312" w:lineRule="auto"/>
        <w:jc w:val="both"/>
      </w:pPr>
      <w:r w:rsidRPr="003474BD">
        <w:t xml:space="preserve">Оценителната комисия извършва проверка за съответствие с правилата за държавните помощи в съответствие с </w:t>
      </w:r>
      <w:r w:rsidR="00DF1EB5" w:rsidRPr="003474BD">
        <w:t>ВРКП</w:t>
      </w:r>
      <w:r w:rsidRPr="003474BD">
        <w:t>.</w:t>
      </w:r>
    </w:p>
    <w:p w14:paraId="2C8B29BD" w14:textId="2E9556CD" w:rsidR="003C00D5" w:rsidRPr="003474BD" w:rsidRDefault="003C00D5" w:rsidP="003C00D5">
      <w:pPr>
        <w:spacing w:before="120" w:after="120" w:line="312" w:lineRule="auto"/>
        <w:jc w:val="both"/>
      </w:pPr>
      <w:r w:rsidRPr="00A04518">
        <w:t>В случай, че при оценката на конкретно предложение се установи, че със средствата, за които се кандидатства, ще бъде надхвърлен прагът на допустимите държавни помощи</w:t>
      </w:r>
      <w:r w:rsidR="00797940" w:rsidRPr="00A04518">
        <w:t xml:space="preserve"> (съответно максималния размер на безвъзмездно финансиране по раздел 9</w:t>
      </w:r>
      <w:r w:rsidR="00162E86" w:rsidRPr="00A04518">
        <w:t xml:space="preserve"> по-горе за едно предприятие за един или няколко проекта</w:t>
      </w:r>
      <w:r w:rsidR="00797940" w:rsidRPr="00A04518">
        <w:t>)</w:t>
      </w:r>
      <w:r w:rsidRPr="00A04518">
        <w:t>, оценителната комисия намалява служебно размера на безвъзмездното финансиране до максимално допустимия размер.</w:t>
      </w:r>
      <w:r w:rsidRPr="004A6EC9">
        <w:t xml:space="preserve"> Тази</w:t>
      </w:r>
      <w:r w:rsidRPr="003474BD">
        <w:t xml:space="preserve"> корекция не може да води до промяна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71CD0BCD" w14:textId="77777777" w:rsidR="003C00D5" w:rsidRPr="003474BD" w:rsidRDefault="003C00D5" w:rsidP="003C00D5">
      <w:pPr>
        <w:spacing w:before="120" w:after="120" w:line="312" w:lineRule="auto"/>
        <w:jc w:val="both"/>
      </w:pPr>
      <w:r w:rsidRPr="003474BD">
        <w:lastRenderedPageBreak/>
        <w:t>Оценителната комисия може да извършва корекции в бюджета и/или размера на финансирането на предложение, в случаите и по реда, посочени в чл. 16, ал. 8 – 10 от ПМС № 114/2022 г.</w:t>
      </w:r>
    </w:p>
    <w:p w14:paraId="624AB700" w14:textId="7AF98B2B" w:rsidR="003C00D5" w:rsidRPr="003474BD" w:rsidRDefault="003C00D5" w:rsidP="003C00D5">
      <w:pPr>
        <w:spacing w:before="120" w:after="120" w:line="312" w:lineRule="auto"/>
        <w:jc w:val="both"/>
      </w:pPr>
      <w:r w:rsidRPr="003474BD">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нередовности и определя срок за тяхното отстраняване, който не може да бъде по-кратък от 7 дни. Уведомлението съдържа и информация, че </w:t>
      </w:r>
      <w:r w:rsidR="00E54E73" w:rsidRPr="003474BD">
        <w:t>не отстраняването</w:t>
      </w:r>
      <w:r w:rsidRPr="003474BD">
        <w:t xml:space="preserve"> на нередовностите в срок може да доведе до недопускане на предложението до техническа и финансова оценка и прекратяване на производството по отношение на кандидата. Отстраняването на нередовностите не може да води до промени по същество. Въз основа на извършената оценка на административното съответствие и допустимостта Оценителната комисията изготвя списък на предложенията, които не се допускат до етап класиране на предложенията. В списъка се посочват и основанията за недопускане. Списъкът се публикува на интернет страницата на СНД и в информационната система за ИСМ, а за недопускането се съобщава на всеки от кандидатите, включени в списъка, по реда на чл. 61 от Административнопроцесуалния кодекс. Кандидат, чието предложение е включено в списъка, може писмено да възрази пред ръководителя на СНД в едноседмичен срок от съобщаването. С подаване на възражението не могат да се представят нови документи, които не са били част от първоначално представеното предложение и/или не са допълнени по горепосочения ред. Ръководителят на СНД определя със заповед лица, които да извършват проверка за основателността на получените възражения, като им се осигурява достъп до цялата документация във връзка с възраженията. Срокът за извършване на проверка и изготвянето на становище по проверката е 7-дневен от изтичането на срока за подаване на възражения. Ръководителят на СНД се произнася по основателността на възражението в 3-дневен срок от получаването на становището, като: 1) връща предложението за класиране; или 2) прекратява производството по отношение на кандидата, чието предложение не е допуснато до техническа и финансова оценка. Ръководителят на СНД прекратява производството по отношение на кандидат, чието предложение е включено в списъка на предложенията, които не се допускат до техническа и финансова оценка, и не е подал възражение в предвидения срок и по реда. Актът за прекратяване на производството се издава в едноседмичен срок от изтичането на срока за подаване на възражение.</w:t>
      </w:r>
    </w:p>
    <w:p w14:paraId="675B5AD5" w14:textId="77777777" w:rsidR="003C00D5" w:rsidRPr="003474BD" w:rsidRDefault="003C00D5" w:rsidP="003C00D5">
      <w:pPr>
        <w:spacing w:before="120" w:after="120" w:line="312" w:lineRule="auto"/>
        <w:jc w:val="both"/>
        <w:rPr>
          <w:b/>
          <w:bCs/>
        </w:rPr>
      </w:pPr>
      <w:r w:rsidRPr="003474BD">
        <w:rPr>
          <w:b/>
          <w:bCs/>
        </w:rPr>
        <w:t>2)</w:t>
      </w:r>
      <w:r w:rsidRPr="003474BD">
        <w:rPr>
          <w:b/>
          <w:bCs/>
        </w:rPr>
        <w:tab/>
        <w:t>Класиране на предложенията</w:t>
      </w:r>
    </w:p>
    <w:p w14:paraId="36B8836F" w14:textId="3CE7C77A" w:rsidR="003C00D5" w:rsidRPr="003474BD" w:rsidRDefault="003C00D5" w:rsidP="003C00D5">
      <w:pPr>
        <w:spacing w:before="120" w:after="120" w:line="312" w:lineRule="auto"/>
        <w:jc w:val="both"/>
      </w:pPr>
      <w:r w:rsidRPr="003474BD">
        <w:lastRenderedPageBreak/>
        <w:t>Класирането на предложенията, които са преминали успешно през оценка на административното съответствие и допустимостта ще се извършва въз основа на поисканата безвъзмездна помощ за 1 MW</w:t>
      </w:r>
      <w:r w:rsidR="00BB2B56" w:rsidRPr="003474BD">
        <w:t xml:space="preserve">h използваем енергиен капацитет за съхранение на </w:t>
      </w:r>
      <w:r w:rsidRPr="003474BD">
        <w:t xml:space="preserve">електрическа енергия , като предложенията се класират по възходящ ред на поисканата безвъзмездна помощ на единица </w:t>
      </w:r>
      <w:r w:rsidR="00BB2B56" w:rsidRPr="003474BD">
        <w:t xml:space="preserve">използваем енергиен капацитет за съхранение на електрическа енергия </w:t>
      </w:r>
      <w:r w:rsidRPr="003474BD">
        <w:t xml:space="preserve">. СНД ще класира всички предложения до изчерпване на лимита на бюджета за процедурата. </w:t>
      </w:r>
    </w:p>
    <w:p w14:paraId="5F96FBEF" w14:textId="77777777" w:rsidR="003C00D5" w:rsidRPr="003474BD" w:rsidRDefault="003C00D5" w:rsidP="003C00D5">
      <w:pPr>
        <w:spacing w:before="120" w:after="120" w:line="312" w:lineRule="auto"/>
        <w:jc w:val="both"/>
      </w:pPr>
      <w:r w:rsidRPr="003474BD">
        <w:t>В случай че на този етап от оценката има няколко кандидата с еднаква поискана безвъзмездна помощ, СНД ще класира тези кандидати въз основа на следните критерии при равенство:</w:t>
      </w:r>
    </w:p>
    <w:p w14:paraId="3E4BEC05" w14:textId="7AE7AB7F" w:rsidR="003C00D5" w:rsidRPr="003474BD" w:rsidRDefault="003C00D5" w:rsidP="003C00D5">
      <w:pPr>
        <w:pStyle w:val="ListParagraph"/>
        <w:numPr>
          <w:ilvl w:val="0"/>
          <w:numId w:val="24"/>
        </w:numPr>
        <w:spacing w:line="312" w:lineRule="auto"/>
        <w:rPr>
          <w:rFonts w:ascii="Times New Roman" w:hAnsi="Times New Roman"/>
          <w:sz w:val="24"/>
          <w:szCs w:val="24"/>
        </w:rPr>
      </w:pPr>
      <w:r w:rsidRPr="003474BD">
        <w:rPr>
          <w:rFonts w:ascii="Times New Roman" w:hAnsi="Times New Roman"/>
          <w:sz w:val="24"/>
          <w:szCs w:val="24"/>
        </w:rPr>
        <w:t>Първо, проектът, който подава оферта с по-висок</w:t>
      </w:r>
      <w:r w:rsidR="00BB2B56" w:rsidRPr="003474BD">
        <w:rPr>
          <w:rFonts w:ascii="Times New Roman" w:hAnsi="Times New Roman"/>
          <w:sz w:val="24"/>
          <w:szCs w:val="24"/>
        </w:rPr>
        <w:t xml:space="preserve"> използваем енергиен капацитет за съхранение на електрическа енергия </w:t>
      </w:r>
      <w:r w:rsidRPr="003474BD">
        <w:rPr>
          <w:rFonts w:ascii="Times New Roman" w:hAnsi="Times New Roman"/>
          <w:sz w:val="24"/>
          <w:szCs w:val="24"/>
        </w:rPr>
        <w:t>, се класира преди всеки проект с по-нис</w:t>
      </w:r>
      <w:r w:rsidR="00BB2B56" w:rsidRPr="003474BD">
        <w:rPr>
          <w:rFonts w:ascii="Times New Roman" w:hAnsi="Times New Roman"/>
          <w:sz w:val="24"/>
          <w:szCs w:val="24"/>
        </w:rPr>
        <w:t xml:space="preserve">ък използваем енергиен капацитет за съхранение на електрическа енергия </w:t>
      </w:r>
      <w:r w:rsidRPr="003474BD">
        <w:rPr>
          <w:rFonts w:ascii="Times New Roman" w:hAnsi="Times New Roman"/>
          <w:sz w:val="24"/>
          <w:szCs w:val="24"/>
        </w:rPr>
        <w:t xml:space="preserve">. </w:t>
      </w:r>
    </w:p>
    <w:p w14:paraId="01AA60C0" w14:textId="6CF12B99" w:rsidR="003C00D5" w:rsidRPr="003474BD" w:rsidRDefault="003C00D5" w:rsidP="003C00D5">
      <w:pPr>
        <w:pStyle w:val="ListParagraph"/>
        <w:numPr>
          <w:ilvl w:val="0"/>
          <w:numId w:val="24"/>
        </w:numPr>
        <w:spacing w:line="312" w:lineRule="auto"/>
        <w:rPr>
          <w:rFonts w:ascii="Times New Roman" w:hAnsi="Times New Roman"/>
          <w:sz w:val="24"/>
          <w:szCs w:val="24"/>
        </w:rPr>
      </w:pPr>
      <w:r w:rsidRPr="003474BD">
        <w:rPr>
          <w:rFonts w:ascii="Times New Roman" w:hAnsi="Times New Roman"/>
          <w:sz w:val="24"/>
          <w:szCs w:val="24"/>
        </w:rPr>
        <w:t xml:space="preserve">Ако все още има равен брой точки, предложението, което изисква по-малко земя (в квадратни метри) за </w:t>
      </w:r>
      <w:r w:rsidR="002B5DB3">
        <w:rPr>
          <w:rFonts w:ascii="Times New Roman" w:hAnsi="Times New Roman"/>
          <w:sz w:val="24"/>
          <w:szCs w:val="24"/>
        </w:rPr>
        <w:t>съоръжението за съхранение</w:t>
      </w:r>
      <w:r w:rsidRPr="003474BD">
        <w:rPr>
          <w:rFonts w:ascii="Times New Roman" w:hAnsi="Times New Roman"/>
          <w:sz w:val="24"/>
          <w:szCs w:val="24"/>
        </w:rPr>
        <w:t>, ще бъде класирано преди предложението, което изисква повече земя.</w:t>
      </w:r>
    </w:p>
    <w:p w14:paraId="004E4C91" w14:textId="77777777" w:rsidR="003C00D5" w:rsidRPr="003474BD" w:rsidRDefault="003C00D5" w:rsidP="003C00D5">
      <w:pPr>
        <w:pStyle w:val="ListParagraph"/>
        <w:numPr>
          <w:ilvl w:val="0"/>
          <w:numId w:val="24"/>
        </w:numPr>
        <w:spacing w:line="312" w:lineRule="auto"/>
        <w:rPr>
          <w:rFonts w:ascii="Times New Roman" w:hAnsi="Times New Roman"/>
          <w:sz w:val="24"/>
          <w:szCs w:val="24"/>
        </w:rPr>
      </w:pPr>
      <w:r w:rsidRPr="003474BD">
        <w:rPr>
          <w:rFonts w:ascii="Times New Roman" w:hAnsi="Times New Roman"/>
          <w:sz w:val="24"/>
          <w:szCs w:val="24"/>
        </w:rPr>
        <w:t>Ако все още има равен брой точки, всяко предложение, подадено на по-ранна дата и час съгласно ИСМ-ИСУН 2020, ще бъде класирано преди предложението с по-късна дата и час.</w:t>
      </w:r>
    </w:p>
    <w:p w14:paraId="56DC0D99" w14:textId="77777777" w:rsidR="003C00D5" w:rsidRPr="003474BD" w:rsidRDefault="003C00D5" w:rsidP="003C00D5">
      <w:pPr>
        <w:spacing w:before="120" w:after="120" w:line="312" w:lineRule="auto"/>
        <w:jc w:val="both"/>
      </w:pPr>
      <w:r w:rsidRPr="003474BD">
        <w:t>Предложенията ще получат точки въз основа на съответните им позиции в подредения списък. Първото предложение в списъка ще получи най-висока оценка, а всяко следващо предложение в списъка ще получи оценка с 1 точка по-ниска от предходното. Последното предложение в списъка ще получи 1 точка.</w:t>
      </w:r>
    </w:p>
    <w:p w14:paraId="53029CE3" w14:textId="77777777" w:rsidR="003C00D5" w:rsidRPr="003474BD" w:rsidRDefault="003C00D5" w:rsidP="003C00D5">
      <w:pPr>
        <w:spacing w:before="120" w:after="120" w:line="312" w:lineRule="auto"/>
        <w:jc w:val="both"/>
      </w:pPr>
      <w:r w:rsidRPr="003474BD">
        <w:t>Въз основа на тези точки СНД започва процеса на приемане на предложенията, като започва от това с най-много точки и продължава последователно надолу, като спира само когато следващото предложение в реда би надхвърлило бюджета на процедурата. Предложението, което би надвишило бюджета на процедурата, се нарича пределно предложение и се включва в списъка с резервни предложения.</w:t>
      </w:r>
    </w:p>
    <w:p w14:paraId="26499924" w14:textId="77777777" w:rsidR="003C00D5" w:rsidRPr="003474BD" w:rsidRDefault="003C00D5" w:rsidP="003C00D5">
      <w:pPr>
        <w:spacing w:before="120" w:after="120" w:line="312" w:lineRule="auto"/>
        <w:jc w:val="both"/>
      </w:pPr>
      <w:r w:rsidRPr="003474BD">
        <w:t>Всяко предложение, което е получило по-малко точки от пределното предложение, ще бъде включено в списък с резервни предложения.</w:t>
      </w:r>
    </w:p>
    <w:p w14:paraId="7084CA66" w14:textId="77777777" w:rsidR="003C00D5" w:rsidRPr="003474BD" w:rsidRDefault="003C00D5" w:rsidP="003C00D5">
      <w:pPr>
        <w:spacing w:before="120" w:after="120" w:line="312" w:lineRule="auto"/>
        <w:jc w:val="both"/>
      </w:pPr>
      <w:r w:rsidRPr="003474BD">
        <w:t>Въз основа на резултатите от оценката Оценителната комисия изготвя оценителен доклад до Ръководителя на СНД, който включва:</w:t>
      </w:r>
    </w:p>
    <w:p w14:paraId="3155A078" w14:textId="77777777" w:rsidR="003C00D5" w:rsidRPr="003474BD" w:rsidRDefault="003C00D5" w:rsidP="003C00D5">
      <w:pPr>
        <w:pStyle w:val="ListParagraph"/>
        <w:numPr>
          <w:ilvl w:val="0"/>
          <w:numId w:val="23"/>
        </w:numPr>
        <w:spacing w:line="312" w:lineRule="auto"/>
        <w:rPr>
          <w:rFonts w:ascii="Times New Roman" w:hAnsi="Times New Roman"/>
          <w:sz w:val="24"/>
          <w:szCs w:val="24"/>
        </w:rPr>
      </w:pPr>
      <w:r w:rsidRPr="003474BD">
        <w:rPr>
          <w:rFonts w:ascii="Times New Roman" w:hAnsi="Times New Roman"/>
          <w:sz w:val="24"/>
          <w:szCs w:val="24"/>
        </w:rPr>
        <w:lastRenderedPageBreak/>
        <w:t>списък на предложените за финансиране предложения, подредени по реда на тяхното класиране, и размера на средствата, които да бъдат предоставени за всяко от тях;</w:t>
      </w:r>
    </w:p>
    <w:p w14:paraId="3CF9E759" w14:textId="77777777" w:rsidR="003C00D5" w:rsidRPr="003474BD" w:rsidRDefault="003C00D5" w:rsidP="003C00D5">
      <w:pPr>
        <w:pStyle w:val="ListParagraph"/>
        <w:numPr>
          <w:ilvl w:val="0"/>
          <w:numId w:val="23"/>
        </w:numPr>
        <w:spacing w:line="312" w:lineRule="auto"/>
        <w:rPr>
          <w:rFonts w:ascii="Times New Roman" w:hAnsi="Times New Roman"/>
          <w:sz w:val="24"/>
          <w:szCs w:val="24"/>
        </w:rPr>
      </w:pPr>
      <w:r w:rsidRPr="003474BD">
        <w:rPr>
          <w:rFonts w:ascii="Times New Roman" w:hAnsi="Times New Roman"/>
          <w:sz w:val="24"/>
          <w:szCs w:val="24"/>
        </w:rPr>
        <w:t>списък с резервните предложения, които успешно са преминали оценяването, но за които не достига финансиране, подредени по реда на тяхното класиране (ако е приложимо).</w:t>
      </w:r>
    </w:p>
    <w:p w14:paraId="5A2D0D4F" w14:textId="77777777" w:rsidR="003C00D5" w:rsidRPr="003474BD" w:rsidRDefault="003C00D5" w:rsidP="003C00D5">
      <w:pPr>
        <w:spacing w:before="120" w:after="120" w:line="312" w:lineRule="auto"/>
        <w:jc w:val="both"/>
      </w:pPr>
      <w:r w:rsidRPr="003474BD">
        <w:t>В съответствие с чл. 19, ал. 1, т. 1 от ПМС № 114/2022 г. ръководителят на СНД одобрява доклада на оценителната комисия, като кандидатите от списъка на предложените за финансиране предложения се поканват да представят в 14-дневен срок доказателства, че отговарят на изискванията за краен получател на средства от МВУ, посочени в настоящите Условия за кандидатстване, ако същите не са приложени към формуляра за кандидатстване. Поканите се изпращат чрез системата ИСМ-ИСУН 2020.</w:t>
      </w:r>
    </w:p>
    <w:p w14:paraId="0D647096" w14:textId="77777777" w:rsidR="003C00D5" w:rsidRPr="003474BD" w:rsidRDefault="003C00D5" w:rsidP="003C00D5">
      <w:pPr>
        <w:spacing w:before="120" w:after="120" w:line="312" w:lineRule="auto"/>
        <w:jc w:val="both"/>
      </w:pPr>
      <w:r w:rsidRPr="003474BD">
        <w:t xml:space="preserve">При установена обективна необходимост от предоставяне на разяснения и/или допълнителни документи на кандидатите може да се предостави еднократно допълнителен срок, но не по-дълъг от 14 дни. </w:t>
      </w:r>
    </w:p>
    <w:p w14:paraId="613FD8A5" w14:textId="77777777" w:rsidR="003C00D5" w:rsidRPr="003474BD" w:rsidRDefault="003C00D5" w:rsidP="003C00D5">
      <w:pPr>
        <w:spacing w:before="120" w:after="120" w:line="312" w:lineRule="auto"/>
        <w:jc w:val="both"/>
      </w:pPr>
      <w:r w:rsidRPr="003474BD">
        <w:t>В 7-дневен срок от одобряването на оценителния доклад, съответно от представянето на доказателствата, че отговарят на изискванията за краен получател на средства от МВУ, посочени в настоящите Условия за кандидатстване, ръководителят на СНД издава решение за предоставяне на средства от Механизма по всяко предложение, включено в списъка на предложените за финансиране предложения.</w:t>
      </w:r>
    </w:p>
    <w:p w14:paraId="69672DF2" w14:textId="77777777" w:rsidR="003C00D5" w:rsidRPr="003474BD" w:rsidRDefault="003C00D5" w:rsidP="003C00D5">
      <w:pPr>
        <w:spacing w:before="120" w:after="120" w:line="312" w:lineRule="auto"/>
        <w:jc w:val="both"/>
        <w:rPr>
          <w:b/>
          <w:bCs/>
        </w:rPr>
      </w:pPr>
      <w:r w:rsidRPr="003474BD">
        <w:rPr>
          <w:b/>
          <w:bCs/>
        </w:rPr>
        <w:t>Договор за финансиране с крайния получател</w:t>
      </w:r>
    </w:p>
    <w:p w14:paraId="30F6F73F" w14:textId="77777777" w:rsidR="00F831F6" w:rsidRPr="003474BD" w:rsidRDefault="003C00D5" w:rsidP="003C00D5">
      <w:pPr>
        <w:spacing w:before="120" w:after="120" w:line="312" w:lineRule="auto"/>
        <w:jc w:val="both"/>
      </w:pPr>
      <w:r w:rsidRPr="003474BD">
        <w:t xml:space="preserve">В срок до 15 работни дни от влизането в сила на решението за предоставяне на средства от НПВУ ръководителят на СНД сключва договор за финансиране с крайния получател. </w:t>
      </w:r>
    </w:p>
    <w:p w14:paraId="34144759" w14:textId="56054002" w:rsidR="00D60BE8" w:rsidRPr="003474BD" w:rsidRDefault="00D60BE8" w:rsidP="00D60BE8">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b/>
          <w:color w:val="000000" w:themeColor="text1"/>
        </w:rPr>
        <w:t xml:space="preserve">ВАЖНО: </w:t>
      </w:r>
      <w:r w:rsidRPr="00A04518">
        <w:rPr>
          <w:b/>
          <w:bCs/>
        </w:rPr>
        <w:t>Договорите за финансиране по настоящата процедура</w:t>
      </w:r>
      <w:r w:rsidRPr="00A04518">
        <w:t xml:space="preserve"> </w:t>
      </w:r>
      <w:r w:rsidRPr="00A04518">
        <w:rPr>
          <w:b/>
          <w:bCs/>
        </w:rPr>
        <w:t>влизат в сила след получено одобрение за допустима държавна помощ, с посочване на акта на Европейския съюз, съгласно който се одобрява помощта</w:t>
      </w:r>
      <w:r w:rsidRPr="004C739A">
        <w:t>.</w:t>
      </w:r>
    </w:p>
    <w:p w14:paraId="365A8E5B" w14:textId="0D77F7A5" w:rsidR="003C00D5" w:rsidRPr="003474BD" w:rsidRDefault="003C00D5" w:rsidP="003C00D5">
      <w:pPr>
        <w:spacing w:before="120" w:after="120" w:line="312" w:lineRule="auto"/>
        <w:jc w:val="both"/>
      </w:pPr>
      <w:r w:rsidRPr="003474BD">
        <w:t>Договорът задължително включва:</w:t>
      </w:r>
    </w:p>
    <w:p w14:paraId="4B14130C" w14:textId="77777777" w:rsidR="003C00D5" w:rsidRPr="003474BD" w:rsidRDefault="003C00D5" w:rsidP="003C00D5">
      <w:pPr>
        <w:spacing w:before="120" w:after="120" w:line="312" w:lineRule="auto"/>
        <w:jc w:val="both"/>
      </w:pPr>
      <w:r w:rsidRPr="003474BD">
        <w:t>1. наименование и седалище на адресата - краен получател на средствата;</w:t>
      </w:r>
    </w:p>
    <w:p w14:paraId="5C2B92F7" w14:textId="77777777" w:rsidR="003C00D5" w:rsidRPr="003474BD" w:rsidRDefault="003C00D5" w:rsidP="003C00D5">
      <w:pPr>
        <w:spacing w:before="120" w:after="120" w:line="312" w:lineRule="auto"/>
        <w:jc w:val="both"/>
      </w:pPr>
      <w:r w:rsidRPr="003474BD">
        <w:t>2. точен адрес на обекта, попадащ в урбанизирани територии, където ще се изгражда комбинирания проект;</w:t>
      </w:r>
    </w:p>
    <w:p w14:paraId="0EB2053F" w14:textId="77777777" w:rsidR="003C00D5" w:rsidRPr="003474BD" w:rsidRDefault="003C00D5" w:rsidP="003C00D5">
      <w:pPr>
        <w:spacing w:before="120" w:after="120" w:line="312" w:lineRule="auto"/>
        <w:jc w:val="both"/>
      </w:pPr>
      <w:r w:rsidRPr="003474BD">
        <w:t>3. наименование, стойност, основни дейности, индикатори, период и срокове за изпълнение на инвестицията, за която се предоставят средствата;</w:t>
      </w:r>
    </w:p>
    <w:p w14:paraId="5E7FEA7F" w14:textId="77777777" w:rsidR="003C00D5" w:rsidRPr="003474BD" w:rsidRDefault="003C00D5" w:rsidP="003C00D5">
      <w:pPr>
        <w:spacing w:before="120" w:after="120" w:line="312" w:lineRule="auto"/>
        <w:jc w:val="both"/>
      </w:pPr>
      <w:r w:rsidRPr="003474BD">
        <w:lastRenderedPageBreak/>
        <w:t>4. максимален размер на средствата по инвестицията, по която те се предоставят;</w:t>
      </w:r>
    </w:p>
    <w:p w14:paraId="6C53F535" w14:textId="77777777" w:rsidR="003C00D5" w:rsidRPr="003474BD" w:rsidRDefault="003C00D5" w:rsidP="003C00D5">
      <w:pPr>
        <w:spacing w:before="120" w:after="120" w:line="312" w:lineRule="auto"/>
        <w:jc w:val="both"/>
      </w:pPr>
      <w:r w:rsidRPr="003474BD">
        <w:t>5. конкретизация на условията за изпълнение на инвестицията;</w:t>
      </w:r>
    </w:p>
    <w:p w14:paraId="6BF2E1BF" w14:textId="77777777" w:rsidR="003C00D5" w:rsidRPr="003474BD" w:rsidRDefault="003C00D5" w:rsidP="003C00D5">
      <w:pPr>
        <w:spacing w:before="120" w:after="120" w:line="312" w:lineRule="auto"/>
        <w:jc w:val="both"/>
      </w:pPr>
      <w:r w:rsidRPr="003474BD">
        <w:t>6. етапи и цели;</w:t>
      </w:r>
    </w:p>
    <w:p w14:paraId="5FCB4104" w14:textId="77777777" w:rsidR="003C00D5" w:rsidRPr="003474BD" w:rsidRDefault="003C00D5" w:rsidP="003C00D5">
      <w:pPr>
        <w:spacing w:before="120" w:after="120" w:line="312" w:lineRule="auto"/>
        <w:jc w:val="both"/>
      </w:pPr>
      <w:r w:rsidRPr="003474BD">
        <w:t>7. когато е приложимо - информация, че средствата имат характер на допустима държавна помощ, с посочване на акта на Европейския съюз, съгласно който се предоставя или одобрява.</w:t>
      </w:r>
    </w:p>
    <w:p w14:paraId="138A0E32" w14:textId="77777777" w:rsidR="003C00D5" w:rsidRPr="003474BD" w:rsidRDefault="003C00D5" w:rsidP="003C00D5">
      <w:pPr>
        <w:spacing w:before="120" w:after="120" w:line="312" w:lineRule="auto"/>
        <w:jc w:val="both"/>
      </w:pPr>
      <w:r w:rsidRPr="003474BD">
        <w:t>Одобреното предложение за изпълнение на инвестиция и настоящите Условията за кандидатстване  в частта, определяща условията за изпълнение, са неразделна част от договора.</w:t>
      </w:r>
    </w:p>
    <w:p w14:paraId="324F628A" w14:textId="77777777" w:rsidR="003C00D5" w:rsidRPr="003474BD" w:rsidRDefault="003C00D5" w:rsidP="003C00D5">
      <w:pPr>
        <w:spacing w:before="120" w:after="120" w:line="312" w:lineRule="auto"/>
        <w:jc w:val="both"/>
      </w:pPr>
      <w:r w:rsidRPr="003474BD">
        <w:t>Сключеният договор за финансиране, съответно заповедта, включително одобрената инвестиция, може да бъде изменян и/или допълван в случаите и по реда, посочени в чл. 28 от ПМС № 114/08.06.2022 г.</w:t>
      </w:r>
    </w:p>
    <w:p w14:paraId="2A8421D3" w14:textId="77777777" w:rsidR="003C00D5" w:rsidRPr="003474BD" w:rsidRDefault="003C00D5" w:rsidP="003C00D5">
      <w:pPr>
        <w:spacing w:before="120" w:after="120" w:line="312" w:lineRule="auto"/>
        <w:jc w:val="both"/>
      </w:pPr>
    </w:p>
    <w:p w14:paraId="2A125F64" w14:textId="77777777" w:rsidR="003C00D5" w:rsidRPr="003474BD" w:rsidRDefault="003C00D5" w:rsidP="003C00D5">
      <w:pPr>
        <w:pBdr>
          <w:top w:val="double" w:sz="4" w:space="1" w:color="538135"/>
          <w:left w:val="double" w:sz="4" w:space="4" w:color="538135"/>
          <w:bottom w:val="double" w:sz="4" w:space="1" w:color="538135"/>
          <w:right w:val="double" w:sz="4" w:space="4" w:color="538135"/>
        </w:pBdr>
        <w:spacing w:before="120" w:after="120" w:line="312" w:lineRule="auto"/>
        <w:jc w:val="both"/>
      </w:pPr>
      <w:r w:rsidRPr="003474BD">
        <w:rPr>
          <w:b/>
        </w:rPr>
        <w:t xml:space="preserve">ВАЖНО: </w:t>
      </w:r>
      <w:r w:rsidRPr="003474BD">
        <w:t>СНД няма да разглежда предложения, които са изпратени след посочения в т. 21 краен срок за подаване на предложения за изпълнение на инвестиция.</w:t>
      </w:r>
    </w:p>
    <w:p w14:paraId="1DE23A99" w14:textId="77777777" w:rsidR="003C00D5" w:rsidRPr="003474BD" w:rsidRDefault="003C00D5" w:rsidP="003C00D5">
      <w:pPr>
        <w:pBdr>
          <w:top w:val="double" w:sz="4" w:space="1" w:color="538135"/>
          <w:left w:val="double" w:sz="4" w:space="4" w:color="538135"/>
          <w:bottom w:val="double" w:sz="4" w:space="1" w:color="538135"/>
          <w:right w:val="double" w:sz="4" w:space="4" w:color="538135"/>
        </w:pBdr>
        <w:spacing w:before="120" w:after="120" w:line="312" w:lineRule="auto"/>
        <w:jc w:val="both"/>
      </w:pPr>
      <w:r w:rsidRPr="003474BD">
        <w:rPr>
          <w:b/>
        </w:rPr>
        <w:t xml:space="preserve">ВАЖНО: </w:t>
      </w:r>
      <w:r w:rsidRPr="003474BD">
        <w:t>Уведомленията за установени нередовности се изпращат чрез ИСМ-ИСУН 2020. Кандидатът следва да има ангажимент да проверява профила си в ИСМ-ИСУН 2020 ежедневно. В тази връзка, е необходимо кандидатите да разполагат винаги с достъп до електронния адрес, към който е асоцииран профила в ИСМ-ИСУН 2020. За дата на получаване на искането за документи/информация се счита датата на изпращането му чрез ИСМ-ИСУН 2020, независимо дали е получено уведомление на електронния адрес, асоцииран към профила на кандидата. Подавайки електронно предложение за изпълнение на инвестиция, кандидатът се съгласява комуникацията по време на оценката и договарянето да става единствено посредством ИСМ-ИСУН 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ИСМ-ИСУН 2020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ИСМ-ИСУН 2020.</w:t>
      </w:r>
    </w:p>
    <w:p w14:paraId="0AEECD10" w14:textId="15601783" w:rsidR="003C00D5" w:rsidRPr="003474BD" w:rsidRDefault="003C00D5" w:rsidP="003C00D5">
      <w:pPr>
        <w:pBdr>
          <w:top w:val="double" w:sz="4" w:space="1" w:color="538135"/>
          <w:left w:val="double" w:sz="4" w:space="4" w:color="538135"/>
          <w:bottom w:val="double" w:sz="4" w:space="1" w:color="538135"/>
          <w:right w:val="double" w:sz="4" w:space="4" w:color="538135"/>
        </w:pBdr>
        <w:spacing w:before="120" w:after="120" w:line="312" w:lineRule="auto"/>
        <w:jc w:val="both"/>
        <w:rPr>
          <w:rFonts w:eastAsia="MS Mincho"/>
          <w:lang w:eastAsia="en-US"/>
        </w:rPr>
      </w:pPr>
      <w:r w:rsidRPr="003474BD">
        <w:rPr>
          <w:rFonts w:eastAsia="MS Mincho"/>
          <w:lang w:eastAsia="en-US"/>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DC5756" w:rsidRPr="003474BD">
        <w:rPr>
          <w:rFonts w:eastAsia="MS Mincho"/>
          <w:lang w:eastAsia="en-US"/>
        </w:rPr>
        <w:t>"</w:t>
      </w:r>
      <w:r w:rsidRPr="003474BD">
        <w:rPr>
          <w:rFonts w:eastAsia="MS Mincho"/>
          <w:lang w:eastAsia="en-US"/>
        </w:rPr>
        <w:t>Е-кандидатстване</w:t>
      </w:r>
      <w:r w:rsidR="00DC5756" w:rsidRPr="003474BD">
        <w:rPr>
          <w:rFonts w:eastAsia="MS Mincho"/>
          <w:lang w:eastAsia="en-US"/>
        </w:rPr>
        <w:t>"</w:t>
      </w:r>
      <w:r w:rsidRPr="003474BD">
        <w:rPr>
          <w:rFonts w:eastAsia="MS Mincho"/>
          <w:lang w:eastAsia="en-US"/>
        </w:rPr>
        <w:t xml:space="preserve"> в ИСМ-ИСУН 2020.</w:t>
      </w:r>
    </w:p>
    <w:p w14:paraId="33DE025C" w14:textId="77777777" w:rsidR="003C00D5" w:rsidRPr="003474BD" w:rsidRDefault="003C00D5" w:rsidP="00A42091">
      <w:pPr>
        <w:suppressAutoHyphens/>
        <w:spacing w:before="120" w:after="120" w:line="312" w:lineRule="auto"/>
        <w:jc w:val="both"/>
        <w:rPr>
          <w:rFonts w:eastAsia="MS Mincho"/>
          <w:lang w:eastAsia="en-US"/>
        </w:rPr>
      </w:pPr>
    </w:p>
    <w:p w14:paraId="7425B083" w14:textId="0D2364F1" w:rsidR="003F1496" w:rsidRPr="003474BD" w:rsidRDefault="009E1720" w:rsidP="00A42091">
      <w:pPr>
        <w:pStyle w:val="Heading2"/>
        <w:suppressAutoHyphens/>
        <w:spacing w:after="120" w:line="312" w:lineRule="auto"/>
        <w:rPr>
          <w:rFonts w:ascii="Times New Roman" w:hAnsi="Times New Roman"/>
          <w:sz w:val="24"/>
          <w:szCs w:val="24"/>
        </w:rPr>
      </w:pPr>
      <w:bookmarkStart w:id="79" w:name="_Toc106285948"/>
      <w:bookmarkStart w:id="80" w:name="_Toc166258057"/>
      <w:r w:rsidRPr="003474BD">
        <w:rPr>
          <w:rFonts w:ascii="Times New Roman" w:hAnsi="Times New Roman"/>
          <w:sz w:val="24"/>
          <w:szCs w:val="24"/>
        </w:rPr>
        <w:t>19</w:t>
      </w:r>
      <w:r w:rsidR="003F1496" w:rsidRPr="003474BD">
        <w:rPr>
          <w:rFonts w:ascii="Times New Roman" w:hAnsi="Times New Roman"/>
          <w:sz w:val="24"/>
          <w:szCs w:val="24"/>
        </w:rPr>
        <w:t>. Начин на подаване на предложенията за изпълнение на инвестиция:</w:t>
      </w:r>
      <w:bookmarkEnd w:id="79"/>
      <w:bookmarkEnd w:id="80"/>
    </w:p>
    <w:p w14:paraId="5911F29D" w14:textId="0DDA7AFB" w:rsidR="008D17C2" w:rsidRPr="003474BD" w:rsidRDefault="008D17C2" w:rsidP="008D17C2">
      <w:pPr>
        <w:spacing w:before="120" w:after="120" w:line="312" w:lineRule="auto"/>
        <w:jc w:val="both"/>
      </w:pPr>
      <w:r w:rsidRPr="003474BD">
        <w:t xml:space="preserve">Подаването на предложението за изпълнение на инвестиция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w:t>
      </w:r>
      <w:r w:rsidRPr="003474BD">
        <w:rPr>
          <w:b/>
        </w:rPr>
        <w:t>ИСМ-ИСУН 2020, раздел НПВУ</w:t>
      </w:r>
      <w:r w:rsidRPr="003474BD">
        <w:t xml:space="preserve"> </w:t>
      </w:r>
      <w:r w:rsidRPr="003474BD">
        <w:rPr>
          <w:bCs/>
        </w:rPr>
        <w:t xml:space="preserve">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w:t>
      </w:r>
      <w:r w:rsidR="00DC5756" w:rsidRPr="003474BD">
        <w:rPr>
          <w:bCs/>
        </w:rPr>
        <w:t>"</w:t>
      </w:r>
      <w:r w:rsidRPr="003474BD">
        <w:rPr>
          <w:bCs/>
        </w:rPr>
        <w:t>Е-кандидатстване</w:t>
      </w:r>
      <w:r w:rsidR="00DC5756" w:rsidRPr="003474BD">
        <w:rPr>
          <w:bCs/>
        </w:rPr>
        <w:t>"</w:t>
      </w:r>
      <w:r w:rsidRPr="003474BD">
        <w:rPr>
          <w:bCs/>
        </w:rPr>
        <w:t xml:space="preserve"> на </w:t>
      </w:r>
      <w:r w:rsidRPr="003474BD">
        <w:rPr>
          <w:b/>
          <w:bCs/>
        </w:rPr>
        <w:t>следния интернет адрес</w:t>
      </w:r>
      <w:r w:rsidRPr="003474BD">
        <w:rPr>
          <w:bCs/>
        </w:rPr>
        <w:t>:</w:t>
      </w:r>
      <w:r w:rsidRPr="003474BD">
        <w:t xml:space="preserve"> </w:t>
      </w:r>
      <w:hyperlink r:id="rId10" w:history="1">
        <w:r w:rsidRPr="003474BD">
          <w:rPr>
            <w:rStyle w:val="Hyperlink"/>
            <w:color w:val="auto"/>
          </w:rPr>
          <w:t>https://eumis2020.government.bg/bg/s/800c457d-e8be-4421-8ed9-9e78d0a75c39/Procedure/Active</w:t>
        </w:r>
      </w:hyperlink>
      <w:r w:rsidRPr="003474BD">
        <w:t xml:space="preserve"> </w:t>
      </w:r>
    </w:p>
    <w:p w14:paraId="20955990" w14:textId="2A2A9990" w:rsidR="008D17C2" w:rsidRPr="003474BD" w:rsidRDefault="008D17C2" w:rsidP="008D17C2">
      <w:pPr>
        <w:spacing w:before="120" w:after="120" w:line="312" w:lineRule="auto"/>
        <w:jc w:val="both"/>
      </w:pPr>
      <w:r w:rsidRPr="003474BD">
        <w:t xml:space="preserve">Подготовката и подаването на предложението за изпълнение на инвестиция в ИСМ-ИСУН 2020, раздел НПВУ се извършва по следния начин: кандидатът влиза в ИСМ-ИСУН 2020, раздел НПВУ, след регистрация чрез имейл и парола, избира настоящата процедура за кандидатстване от </w:t>
      </w:r>
      <w:r w:rsidR="00DC5756" w:rsidRPr="003474BD">
        <w:t>"</w:t>
      </w:r>
      <w:r w:rsidRPr="003474BD">
        <w:t>Отворени процедури</w:t>
      </w:r>
      <w:r w:rsidR="00DC5756" w:rsidRPr="003474BD">
        <w:t>"</w:t>
      </w:r>
      <w:r w:rsidRPr="003474BD">
        <w:t xml:space="preserve"> и създава ново предложение за изпълнение на инвестиция.</w:t>
      </w:r>
    </w:p>
    <w:p w14:paraId="1C99ABB4" w14:textId="475E4BB4" w:rsidR="008D17C2" w:rsidRPr="003474BD" w:rsidRDefault="008D17C2" w:rsidP="008D17C2">
      <w:pPr>
        <w:spacing w:before="120" w:after="120" w:line="312" w:lineRule="auto"/>
        <w:jc w:val="both"/>
      </w:pPr>
      <w:r w:rsidRPr="003474BD">
        <w:t>Всички документи по настоящата процедура, включително и изискващите се съгласно т. 20 от Условията за кандидатстване</w:t>
      </w:r>
      <w:r w:rsidRPr="003474BD" w:rsidDel="001610D6">
        <w:t xml:space="preserve"> </w:t>
      </w:r>
      <w:r w:rsidRPr="003474BD">
        <w:t xml:space="preserve">придружителни документи към Формуляра за кандидатстване се подават изцяло електронно. Посочените документи се прикачват в т. 10 </w:t>
      </w:r>
      <w:r w:rsidR="00DC5756" w:rsidRPr="003474BD">
        <w:t>"</w:t>
      </w:r>
      <w:r w:rsidRPr="003474BD">
        <w:t>Прикачени електронно подписани документи</w:t>
      </w:r>
      <w:r w:rsidR="00DC5756" w:rsidRPr="003474BD">
        <w:t>"</w:t>
      </w:r>
      <w:r w:rsidRPr="003474BD">
        <w:t xml:space="preserve"> от Формуляра преди подаването му.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4E5CC951" w14:textId="77777777" w:rsidR="008D17C2" w:rsidRPr="003474BD" w:rsidRDefault="008D17C2" w:rsidP="008D17C2">
      <w:pPr>
        <w:pBdr>
          <w:top w:val="double" w:sz="4" w:space="1" w:color="538135"/>
          <w:left w:val="double" w:sz="4" w:space="4" w:color="538135"/>
          <w:bottom w:val="double" w:sz="4" w:space="1" w:color="538135"/>
          <w:right w:val="double" w:sz="4" w:space="4" w:color="538135"/>
        </w:pBdr>
        <w:spacing w:before="120" w:after="120" w:line="312" w:lineRule="auto"/>
        <w:jc w:val="both"/>
      </w:pPr>
      <w:r w:rsidRPr="003474BD">
        <w:rPr>
          <w:b/>
          <w:bCs/>
        </w:rPr>
        <w:t>ВАЖНО:</w:t>
      </w:r>
      <w:r w:rsidRPr="003474BD">
        <w:rPr>
          <w:bCs/>
        </w:rPr>
        <w:t xml:space="preserve"> Предложението за изпълнение на инвестиция се п</w:t>
      </w:r>
      <w:r w:rsidRPr="003474BD">
        <w:t>одава електронно чрез ИСМ-ИСУН 2020, раздел НПВУ, като се подписва с валиден КЕП към датата на кандидатстване от лице, което е официален представляващ на кандидата и е вписан като такъв в ТР и Регистъра на ЮЛНЦ</w:t>
      </w:r>
      <w:r w:rsidRPr="003474BD">
        <w:rPr>
          <w:rStyle w:val="FootnoteReference"/>
        </w:rPr>
        <w:footnoteReference w:id="20"/>
      </w:r>
      <w:r w:rsidRPr="003474BD" w:rsidDel="00274915">
        <w:t xml:space="preserve"> </w:t>
      </w:r>
      <w:r w:rsidRPr="003474BD">
        <w:t xml:space="preserve"> или упълномощено от него лице. В случаите, когато кандидатът се представлява </w:t>
      </w:r>
      <w:r w:rsidRPr="003474BD">
        <w:rPr>
          <w:u w:val="single"/>
        </w:rPr>
        <w:t>само заедно</w:t>
      </w:r>
      <w:r w:rsidRPr="003474BD">
        <w:t xml:space="preserve"> от няколко физически лица, предложението за изпълнение на инвестиция се подписва от всяко от тях при подаването.</w:t>
      </w:r>
    </w:p>
    <w:p w14:paraId="58A419B7" w14:textId="77777777" w:rsidR="008D17C2" w:rsidRPr="003474BD" w:rsidRDefault="008D17C2" w:rsidP="008D17C2">
      <w:pPr>
        <w:spacing w:before="120" w:after="120" w:line="312" w:lineRule="auto"/>
        <w:jc w:val="both"/>
      </w:pPr>
    </w:p>
    <w:p w14:paraId="2A7B73E6" w14:textId="77777777" w:rsidR="008D17C2" w:rsidRPr="003474BD" w:rsidRDefault="008D17C2" w:rsidP="008D17C2">
      <w:pPr>
        <w:spacing w:before="120" w:after="120" w:line="312" w:lineRule="auto"/>
        <w:jc w:val="both"/>
      </w:pPr>
      <w:r w:rsidRPr="003474BD">
        <w:lastRenderedPageBreak/>
        <w:t>При упълномощаване следва да се прикачи в ИСМ-ИСУН 2020, раздел НПВУ изрично пълномощно – попълнено по образец (Приложение 1), което се подписва с валиден КЕП от лице, което е официален представляващ на кандидата и е вписан като такъв в ТР и регистър на ЮЛНЦ, и се прикачва в ИСМ-ИСУН 2020, раздел НПВУ.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В случай че е възприет подход на подписване с валиден КЕП, препоръчително е изричното пълномощно да бъде подписано с електронния подпис на локалния компютър чрез attached signature – файл и подпис в един документ (подписът да се съдържа в документа).</w:t>
      </w:r>
    </w:p>
    <w:p w14:paraId="5D1A000A" w14:textId="77777777" w:rsidR="008D17C2" w:rsidRPr="003474BD" w:rsidRDefault="008D17C2" w:rsidP="008D17C2">
      <w:pPr>
        <w:spacing w:before="120" w:after="120" w:line="312" w:lineRule="auto"/>
        <w:jc w:val="both"/>
      </w:pPr>
      <w:r w:rsidRPr="003474BD">
        <w:t>В случай на подаване на предложението за изпълнение на инвестиция от пълномощник КЕП-ът, с който се подписва предложението за изпълнение на инвестиция,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49807665" w14:textId="7D587253" w:rsidR="008D17C2" w:rsidRPr="003474BD" w:rsidRDefault="008D17C2" w:rsidP="008D17C2">
      <w:pPr>
        <w:spacing w:before="120" w:after="120" w:line="312" w:lineRule="auto"/>
        <w:jc w:val="both"/>
      </w:pPr>
      <w:r w:rsidRPr="003474BD">
        <w:t xml:space="preserve">Моля, обърнете внимание, че предложението за изпълнение на инвестиция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със СНД и за отстраняване на нередовности във връзка с подаденото предложение за изпълнение на инвестиция по време на оценката на предложенията за изпълнение на инвестиция. По време на етап </w:t>
      </w:r>
      <w:r w:rsidR="00DC5756" w:rsidRPr="003474BD">
        <w:t>"</w:t>
      </w:r>
      <w:r w:rsidRPr="003474BD">
        <w:t>Оценка на предложение за изпълнение на инвестиция</w:t>
      </w:r>
      <w:r w:rsidR="00DC5756" w:rsidRPr="003474BD">
        <w:t>"</w:t>
      </w:r>
      <w:r w:rsidRPr="003474BD">
        <w:t xml:space="preserve"> комуникацията с кандидата и отстраняването на нередовности по подаденото предложение за изпълнение на инвестиция ще се извършват електронно чрез профила на кандидата в ИСМ-ИСУН 2020, раздел НПВУ, от който е подадено съответното предложение за изпълнение на инвестиция като промени на посочения профил (вкл. промяна на имейл адреса, асоцииран към съответния профил) </w:t>
      </w:r>
      <w:r w:rsidRPr="003474BD">
        <w:rPr>
          <w:b/>
        </w:rPr>
        <w:t>са недопустими</w:t>
      </w:r>
      <w:r w:rsidRPr="003474BD">
        <w:t>.</w:t>
      </w:r>
    </w:p>
    <w:p w14:paraId="604AD6B5" w14:textId="39B583F8" w:rsidR="008D17C2" w:rsidRPr="003474BD" w:rsidRDefault="008D17C2" w:rsidP="008D17C2">
      <w:pPr>
        <w:spacing w:before="120" w:after="120" w:line="312" w:lineRule="auto"/>
        <w:jc w:val="both"/>
      </w:pPr>
      <w:r w:rsidRPr="003474BD">
        <w:t>До приключването на работата на Оценителната комисия кандидатът има възможност да оттегли своето предложение за изпълнение на инвестиция като подаде писмено искане пред СНД.</w:t>
      </w:r>
      <w:r w:rsidR="0088029A" w:rsidRPr="003474BD">
        <w:t xml:space="preserve"> Гаранцията за участие се възстановява само, ако кандидатът оттегли своето предложение </w:t>
      </w:r>
      <w:r w:rsidR="003D2419" w:rsidRPr="003474BD">
        <w:t xml:space="preserve">за изпълнение на инвестиция </w:t>
      </w:r>
      <w:r w:rsidR="0088029A" w:rsidRPr="003474BD">
        <w:t xml:space="preserve">до изтичане на крайния срок за подаване на предложения по раздел 21 по-долу. </w:t>
      </w:r>
    </w:p>
    <w:p w14:paraId="321BCBAD" w14:textId="77777777" w:rsidR="008D17C2" w:rsidRPr="003474BD" w:rsidRDefault="008D17C2" w:rsidP="008D17C2">
      <w:pPr>
        <w:spacing w:before="120" w:after="120" w:line="312" w:lineRule="auto"/>
        <w:jc w:val="both"/>
      </w:pPr>
      <w:r w:rsidRPr="003474BD">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6F61713B" w14:textId="77777777" w:rsidR="008D17C2" w:rsidRPr="003474BD" w:rsidRDefault="008D17C2" w:rsidP="008D17C2">
      <w:pPr>
        <w:spacing w:before="120" w:after="120" w:line="312" w:lineRule="auto"/>
        <w:jc w:val="both"/>
      </w:pPr>
      <w:r w:rsidRPr="003474BD">
        <w:t>Кандидатът носи цялата отговорност за верността на цялата информация, представена в предложението за изпълнение на инвестиция.</w:t>
      </w:r>
    </w:p>
    <w:p w14:paraId="692DE048" w14:textId="7B17BF47" w:rsidR="003F1496" w:rsidRPr="003474BD" w:rsidRDefault="003F1496" w:rsidP="00A42091">
      <w:pPr>
        <w:suppressAutoHyphens/>
        <w:spacing w:before="120" w:after="120" w:line="312" w:lineRule="auto"/>
        <w:jc w:val="both"/>
      </w:pPr>
    </w:p>
    <w:p w14:paraId="2002112F" w14:textId="4DEADCFE" w:rsidR="003F1496" w:rsidRPr="003474BD" w:rsidRDefault="009E1720" w:rsidP="00A42091">
      <w:pPr>
        <w:pStyle w:val="Heading2"/>
        <w:suppressAutoHyphens/>
        <w:spacing w:after="120" w:line="312" w:lineRule="auto"/>
        <w:rPr>
          <w:rFonts w:ascii="Times New Roman" w:hAnsi="Times New Roman"/>
          <w:sz w:val="24"/>
          <w:szCs w:val="24"/>
        </w:rPr>
      </w:pPr>
      <w:bookmarkStart w:id="81" w:name="_Toc106285949"/>
      <w:bookmarkStart w:id="82" w:name="_Toc166258058"/>
      <w:r w:rsidRPr="003474BD">
        <w:rPr>
          <w:rFonts w:ascii="Times New Roman" w:hAnsi="Times New Roman"/>
          <w:sz w:val="24"/>
          <w:szCs w:val="24"/>
        </w:rPr>
        <w:t>20</w:t>
      </w:r>
      <w:r w:rsidR="003F1496" w:rsidRPr="003474BD">
        <w:rPr>
          <w:rFonts w:ascii="Times New Roman" w:hAnsi="Times New Roman"/>
          <w:sz w:val="24"/>
          <w:szCs w:val="24"/>
        </w:rPr>
        <w:t>. Списък на документите, които се подават на етап кандидатстване:</w:t>
      </w:r>
      <w:bookmarkEnd w:id="81"/>
      <w:bookmarkEnd w:id="82"/>
    </w:p>
    <w:p w14:paraId="1B982B21" w14:textId="77777777" w:rsidR="008D17C2" w:rsidRPr="003474BD" w:rsidRDefault="008D17C2" w:rsidP="008D17C2">
      <w:pPr>
        <w:spacing w:before="120" w:after="120" w:line="312" w:lineRule="auto"/>
        <w:jc w:val="both"/>
        <w:rPr>
          <w:color w:val="000000" w:themeColor="text1"/>
        </w:rPr>
      </w:pPr>
      <w:r w:rsidRPr="003474BD">
        <w:rPr>
          <w:color w:val="000000" w:themeColor="text1"/>
        </w:rPr>
        <w:t>Кандидатите по процедурата за безвъзмездно финансиране следва да представят към Формуляра за кандидатстване по изцяло електронен път чрез ИСМ-ИСУН 2020, раздел НПВУ, следните документи:</w:t>
      </w:r>
    </w:p>
    <w:p w14:paraId="37BB4B49" w14:textId="7B226C69" w:rsidR="008D17C2" w:rsidRPr="003474BD" w:rsidRDefault="008D17C2" w:rsidP="008D17C2">
      <w:pPr>
        <w:spacing w:before="120" w:after="120" w:line="312" w:lineRule="auto"/>
        <w:jc w:val="both"/>
        <w:rPr>
          <w:color w:val="000000" w:themeColor="text1"/>
        </w:rPr>
      </w:pPr>
      <w:r w:rsidRPr="003474BD">
        <w:rPr>
          <w:b/>
          <w:bCs/>
          <w:color w:val="000000" w:themeColor="text1"/>
        </w:rPr>
        <w:t>1)</w:t>
      </w:r>
      <w:r w:rsidRPr="003474BD">
        <w:rPr>
          <w:color w:val="000000" w:themeColor="text1"/>
        </w:rPr>
        <w:t xml:space="preserve"> Изрично пълномощно за подаване на предложението за изпълнение на инвестиция – попълнено по образец (Приложение </w:t>
      </w:r>
      <w:r w:rsidRPr="00E57C4A">
        <w:rPr>
          <w:color w:val="000000" w:themeColor="text1"/>
        </w:rPr>
        <w:t>1</w:t>
      </w:r>
      <w:r w:rsidRPr="00146572">
        <w:rPr>
          <w:color w:val="000000" w:themeColor="text1"/>
        </w:rPr>
        <w:t>)</w:t>
      </w:r>
      <w:r w:rsidRPr="003474BD">
        <w:rPr>
          <w:color w:val="000000" w:themeColor="text1"/>
        </w:rPr>
        <w:t>, с което се упълномощава титуляр</w:t>
      </w:r>
      <w:r w:rsidR="002F5DE2">
        <w:rPr>
          <w:color w:val="000000" w:themeColor="text1"/>
        </w:rPr>
        <w:t>а</w:t>
      </w:r>
      <w:r w:rsidRPr="003474BD">
        <w:rPr>
          <w:color w:val="000000" w:themeColor="text1"/>
        </w:rPr>
        <w:t xml:space="preserve"> на валиден КЕП</w:t>
      </w:r>
      <w:r w:rsidRPr="003474BD">
        <w:rPr>
          <w:rStyle w:val="FootnoteReference"/>
          <w:b/>
          <w:color w:val="000000" w:themeColor="text1"/>
        </w:rPr>
        <w:footnoteReference w:id="21"/>
      </w:r>
      <w:r w:rsidRPr="003474BD">
        <w:rPr>
          <w:color w:val="000000" w:themeColor="text1"/>
        </w:rPr>
        <w:t>, с който ще се подаде предложението.</w:t>
      </w:r>
    </w:p>
    <w:p w14:paraId="2743EF23" w14:textId="77777777" w:rsidR="008D17C2" w:rsidRPr="003474BD" w:rsidRDefault="008D17C2" w:rsidP="008D17C2">
      <w:pPr>
        <w:spacing w:before="120" w:after="120" w:line="312" w:lineRule="auto"/>
        <w:jc w:val="both"/>
        <w:rPr>
          <w:color w:val="000000" w:themeColor="text1"/>
        </w:rPr>
      </w:pPr>
      <w:r w:rsidRPr="003474BD">
        <w:rPr>
          <w:color w:val="000000" w:themeColor="text1"/>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предложението за изпълнение на инвестиция с валиден КЕП.</w:t>
      </w:r>
    </w:p>
    <w:p w14:paraId="7439CD5B" w14:textId="77777777" w:rsidR="008D17C2" w:rsidRPr="003474BD" w:rsidRDefault="008D17C2" w:rsidP="008D17C2">
      <w:pPr>
        <w:spacing w:before="120" w:after="120" w:line="312" w:lineRule="auto"/>
        <w:jc w:val="both"/>
        <w:rPr>
          <w:color w:val="000000" w:themeColor="text1"/>
        </w:rPr>
      </w:pPr>
      <w:r w:rsidRPr="003474BD">
        <w:rPr>
          <w:color w:val="000000" w:themeColor="text1"/>
        </w:rPr>
        <w:t>Изричното пълномощно се попълва по образец (Приложение 1) и се подписва с валиден КЕП от лице, което е официален представляващ на кандидата и е вписан като такъв в ТР и регистър на ЮЛНЦ, и се прикачва в ИСМ-ИСУН 2020, раздел НПВУ.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В случай че е възприет подход на подписване с валиден КЕП, препоръчително е изричното пълномощно да бъде подписано с електронния подпис на локалния компютър чрез attached signature – файл и подпис в един документ (подписът да се съдържа в документа).</w:t>
      </w:r>
    </w:p>
    <w:p w14:paraId="68880C60" w14:textId="77777777" w:rsidR="008D17C2" w:rsidRPr="003474BD" w:rsidRDefault="008D17C2" w:rsidP="008D17C2">
      <w:pPr>
        <w:spacing w:before="120" w:after="120" w:line="312" w:lineRule="auto"/>
        <w:jc w:val="both"/>
        <w:rPr>
          <w:color w:val="000000" w:themeColor="text1"/>
        </w:rPr>
      </w:pPr>
    </w:p>
    <w:p w14:paraId="464FA381" w14:textId="72A604A2" w:rsidR="008D17C2" w:rsidRPr="003474BD" w:rsidRDefault="008D17C2" w:rsidP="008D17C2">
      <w:pPr>
        <w:spacing w:before="120" w:after="120" w:line="312" w:lineRule="auto"/>
        <w:jc w:val="both"/>
        <w:rPr>
          <w:color w:val="000000" w:themeColor="text1"/>
        </w:rPr>
      </w:pPr>
      <w:bookmarkStart w:id="83" w:name="_Hlk147264398"/>
      <w:r w:rsidRPr="003474BD">
        <w:rPr>
          <w:b/>
          <w:bCs/>
          <w:color w:val="000000" w:themeColor="text1"/>
        </w:rPr>
        <w:t>2)</w:t>
      </w:r>
      <w:r w:rsidRPr="003474BD">
        <w:rPr>
          <w:color w:val="000000" w:themeColor="text1"/>
        </w:rPr>
        <w:t xml:space="preserve"> Декларация при кандидатстване </w:t>
      </w:r>
      <w:r w:rsidR="00146572">
        <w:rPr>
          <w:color w:val="000000" w:themeColor="text1"/>
        </w:rPr>
        <w:t xml:space="preserve">и за приемане на условията на процедурата </w:t>
      </w:r>
      <w:r w:rsidRPr="003474BD">
        <w:rPr>
          <w:color w:val="000000" w:themeColor="text1"/>
        </w:rPr>
        <w:t>– попълнена по образец (</w:t>
      </w:r>
      <w:r w:rsidRPr="00146572">
        <w:rPr>
          <w:color w:val="000000" w:themeColor="text1"/>
        </w:rPr>
        <w:t xml:space="preserve">Приложение </w:t>
      </w:r>
      <w:r w:rsidR="00146572" w:rsidRPr="00E57C4A">
        <w:rPr>
          <w:color w:val="000000" w:themeColor="text1"/>
        </w:rPr>
        <w:t>5</w:t>
      </w:r>
      <w:r w:rsidRPr="00146572">
        <w:rPr>
          <w:color w:val="000000" w:themeColor="text1"/>
        </w:rPr>
        <w:t>)</w:t>
      </w:r>
      <w:bookmarkEnd w:id="83"/>
      <w:r w:rsidRPr="00146572">
        <w:rPr>
          <w:color w:val="000000" w:themeColor="text1"/>
        </w:rPr>
        <w:t>.</w:t>
      </w:r>
    </w:p>
    <w:p w14:paraId="78406387" w14:textId="77777777" w:rsidR="008D17C2" w:rsidRPr="003474BD" w:rsidRDefault="008D17C2" w:rsidP="008D17C2">
      <w:pPr>
        <w:pBdr>
          <w:top w:val="double" w:sz="4" w:space="1" w:color="538135"/>
          <w:left w:val="double" w:sz="4" w:space="4" w:color="538135"/>
          <w:bottom w:val="double" w:sz="4" w:space="1" w:color="538135"/>
          <w:right w:val="double" w:sz="4" w:space="4" w:color="538135"/>
        </w:pBdr>
        <w:spacing w:before="120" w:after="120" w:line="312" w:lineRule="auto"/>
        <w:jc w:val="both"/>
        <w:rPr>
          <w:color w:val="000000" w:themeColor="text1"/>
        </w:rPr>
      </w:pPr>
      <w:r w:rsidRPr="003474BD">
        <w:rPr>
          <w:b/>
          <w:bCs/>
          <w:color w:val="000000" w:themeColor="text1"/>
        </w:rPr>
        <w:t xml:space="preserve">ВАЖНО: </w:t>
      </w:r>
      <w:r w:rsidRPr="003474BD">
        <w:rPr>
          <w:color w:val="000000" w:themeColor="text1"/>
        </w:rPr>
        <w:t>Допустими са следните два варианта на подписване на Декларацията по т. 2):</w:t>
      </w:r>
    </w:p>
    <w:p w14:paraId="59371FD0" w14:textId="77777777" w:rsidR="008D17C2" w:rsidRPr="003474BD" w:rsidRDefault="008D17C2" w:rsidP="008D17C2">
      <w:pPr>
        <w:pBdr>
          <w:top w:val="double" w:sz="4" w:space="1" w:color="538135"/>
          <w:left w:val="double" w:sz="4" w:space="4" w:color="538135"/>
          <w:bottom w:val="double" w:sz="4" w:space="1" w:color="538135"/>
          <w:right w:val="double" w:sz="4" w:space="4" w:color="538135"/>
        </w:pBdr>
        <w:spacing w:before="120" w:after="120" w:line="312" w:lineRule="auto"/>
        <w:jc w:val="both"/>
        <w:rPr>
          <w:color w:val="000000" w:themeColor="text1"/>
        </w:rPr>
      </w:pPr>
      <w:r w:rsidRPr="003474BD">
        <w:rPr>
          <w:color w:val="000000" w:themeColor="text1"/>
        </w:rPr>
        <w:t>Вариант 1: Декларацията се датира и подписва на хартиен носител от всички лица представляващи кандидата и вписани в ТР и регистър на ЮЛНЦ (вкл. прокурист/и, ако е приложимо).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ИСМ-ИСУН 2020, раздел НПВУ.</w:t>
      </w:r>
    </w:p>
    <w:p w14:paraId="32CC4C73" w14:textId="77777777" w:rsidR="008D17C2" w:rsidRPr="003474BD" w:rsidRDefault="008D17C2" w:rsidP="008D17C2">
      <w:pPr>
        <w:pBdr>
          <w:top w:val="double" w:sz="4" w:space="1" w:color="538135"/>
          <w:left w:val="double" w:sz="4" w:space="4" w:color="538135"/>
          <w:bottom w:val="double" w:sz="4" w:space="1" w:color="538135"/>
          <w:right w:val="double" w:sz="4" w:space="4" w:color="538135"/>
        </w:pBdr>
        <w:spacing w:before="120" w:after="120" w:line="312" w:lineRule="auto"/>
        <w:jc w:val="both"/>
        <w:rPr>
          <w:color w:val="000000" w:themeColor="text1"/>
        </w:rPr>
      </w:pPr>
      <w:r w:rsidRPr="003474BD">
        <w:rPr>
          <w:color w:val="000000" w:themeColor="text1"/>
        </w:rPr>
        <w:lastRenderedPageBreak/>
        <w:t xml:space="preserve">Вариант 2: Декларацията може да бъде подписана с валиден КЕП от всички лица представляващи кандидата (вкл. прокурист/и, ако е приложимо), вписани в ТР и регистър на ЮЛНЦ (не е допустимо подписване от упълномощени лица), и прикачена към Формуляра за кандидатстване в ИСМ-ИСУН 2020, раздел НПВУ. </w:t>
      </w:r>
    </w:p>
    <w:p w14:paraId="629DA21B" w14:textId="77777777" w:rsidR="008D17C2" w:rsidRPr="003474BD" w:rsidRDefault="008D17C2" w:rsidP="008D17C2">
      <w:pPr>
        <w:pBdr>
          <w:top w:val="double" w:sz="4" w:space="1" w:color="538135"/>
          <w:left w:val="double" w:sz="4" w:space="4" w:color="538135"/>
          <w:bottom w:val="double" w:sz="4" w:space="1" w:color="538135"/>
          <w:right w:val="double" w:sz="4" w:space="4" w:color="538135"/>
        </w:pBdr>
        <w:spacing w:before="120" w:after="120" w:line="312" w:lineRule="auto"/>
        <w:jc w:val="both"/>
        <w:rPr>
          <w:color w:val="000000" w:themeColor="text1"/>
        </w:rPr>
      </w:pPr>
      <w:bookmarkStart w:id="84" w:name="_Hlk147256901"/>
      <w:r w:rsidRPr="003474BD">
        <w:rPr>
          <w:color w:val="000000" w:themeColor="text1"/>
        </w:rPr>
        <w:t>Официалният/те представител/и на кандидата няма/т право да упълномощава/т други лица да подписват декларацията по т. 2) тъй като с тях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bookmarkEnd w:id="84"/>
    </w:p>
    <w:p w14:paraId="5460C6D7" w14:textId="77777777" w:rsidR="008D17C2" w:rsidRPr="003474BD" w:rsidRDefault="008D17C2" w:rsidP="008D17C2">
      <w:pPr>
        <w:spacing w:before="120" w:after="120" w:line="312" w:lineRule="auto"/>
        <w:jc w:val="both"/>
        <w:rPr>
          <w:color w:val="000000" w:themeColor="text1"/>
        </w:rPr>
      </w:pPr>
    </w:p>
    <w:p w14:paraId="1FB90890" w14:textId="77777777" w:rsidR="008D17C2" w:rsidRPr="003474BD" w:rsidRDefault="008D17C2" w:rsidP="008D17C2">
      <w:pPr>
        <w:spacing w:before="120" w:after="120" w:line="312" w:lineRule="auto"/>
        <w:jc w:val="both"/>
        <w:rPr>
          <w:color w:val="000000" w:themeColor="text1"/>
        </w:rPr>
      </w:pPr>
      <w:r w:rsidRPr="003474BD">
        <w:rPr>
          <w:b/>
          <w:bCs/>
          <w:color w:val="000000" w:themeColor="text1"/>
        </w:rPr>
        <w:t>3)</w:t>
      </w:r>
      <w:r w:rsidRPr="003474BD">
        <w:rPr>
          <w:color w:val="000000" w:themeColor="text1"/>
        </w:rPr>
        <w:t xml:space="preserve"> </w:t>
      </w:r>
      <w:bookmarkStart w:id="85" w:name="_Hlk169707931"/>
      <w:bookmarkStart w:id="86" w:name="_Hlk147264408"/>
      <w:r w:rsidRPr="003474BD">
        <w:rPr>
          <w:color w:val="000000" w:themeColor="text1"/>
        </w:rPr>
        <w:t xml:space="preserve">Декларация за държавни/минимални помощи </w:t>
      </w:r>
      <w:bookmarkEnd w:id="85"/>
      <w:r w:rsidRPr="003474BD">
        <w:rPr>
          <w:color w:val="000000" w:themeColor="text1"/>
        </w:rPr>
        <w:t xml:space="preserve">– попълнена по образец (Приложение </w:t>
      </w:r>
      <w:r w:rsidRPr="00E57C4A">
        <w:rPr>
          <w:color w:val="000000" w:themeColor="text1"/>
        </w:rPr>
        <w:t>2</w:t>
      </w:r>
      <w:r w:rsidRPr="003474BD">
        <w:rPr>
          <w:color w:val="000000" w:themeColor="text1"/>
        </w:rPr>
        <w:t>).</w:t>
      </w:r>
      <w:bookmarkEnd w:id="86"/>
    </w:p>
    <w:p w14:paraId="188A49B7" w14:textId="008D900C" w:rsidR="008D17C2" w:rsidRPr="003474BD" w:rsidRDefault="008D17C2" w:rsidP="008D17C2">
      <w:pPr>
        <w:pBdr>
          <w:top w:val="double" w:sz="4" w:space="1" w:color="538135"/>
          <w:left w:val="double" w:sz="4" w:space="4" w:color="538135"/>
          <w:bottom w:val="double" w:sz="4" w:space="1" w:color="538135"/>
          <w:right w:val="double" w:sz="4" w:space="4" w:color="538135"/>
        </w:pBdr>
        <w:spacing w:before="120" w:after="120" w:line="312" w:lineRule="auto"/>
        <w:jc w:val="both"/>
        <w:rPr>
          <w:bCs/>
          <w:color w:val="000000" w:themeColor="text1"/>
        </w:rPr>
      </w:pPr>
      <w:r w:rsidRPr="003474BD">
        <w:rPr>
          <w:b/>
          <w:bCs/>
          <w:color w:val="000000" w:themeColor="text1"/>
        </w:rPr>
        <w:t xml:space="preserve">ВАЖНО: </w:t>
      </w:r>
      <w:r w:rsidRPr="003474BD">
        <w:rPr>
          <w:bCs/>
          <w:color w:val="000000" w:themeColor="text1"/>
        </w:rPr>
        <w:t xml:space="preserve">В случай че след подаване на предложението за изпълнение на инвестиция настъпи промяна по отношение на получената държавна/минимална помощ, кандидатът следва да уведоми писмено СНД и да изпрати нова Декларация за държавни/минимални помощи (Приложение 2), с попълнени актуални данни в нея, в срок от пет работни дни посредством модул </w:t>
      </w:r>
      <w:r w:rsidR="00DC5756" w:rsidRPr="003474BD">
        <w:rPr>
          <w:bCs/>
          <w:color w:val="000000" w:themeColor="text1"/>
        </w:rPr>
        <w:t>"</w:t>
      </w:r>
      <w:r w:rsidRPr="003474BD">
        <w:rPr>
          <w:bCs/>
          <w:color w:val="000000" w:themeColor="text1"/>
        </w:rPr>
        <w:t>Комуникация с УО</w:t>
      </w:r>
      <w:r w:rsidR="00DC5756" w:rsidRPr="003474BD">
        <w:rPr>
          <w:bCs/>
          <w:color w:val="000000" w:themeColor="text1"/>
        </w:rPr>
        <w:t>"</w:t>
      </w:r>
      <w:r w:rsidRPr="003474BD">
        <w:rPr>
          <w:bCs/>
          <w:color w:val="000000" w:themeColor="text1"/>
        </w:rPr>
        <w:t xml:space="preserve"> в ИСМ-ИСУН 2020, раздел НПВУ. 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 </w:t>
      </w:r>
    </w:p>
    <w:p w14:paraId="0C3DB68C" w14:textId="2CF99443" w:rsidR="008D17C2" w:rsidRPr="003474BD" w:rsidRDefault="008D17C2" w:rsidP="008D17C2">
      <w:pPr>
        <w:spacing w:before="120" w:after="120" w:line="312" w:lineRule="auto"/>
        <w:jc w:val="both"/>
        <w:rPr>
          <w:bCs/>
          <w:color w:val="000000" w:themeColor="text1"/>
        </w:rPr>
      </w:pPr>
    </w:p>
    <w:p w14:paraId="3690C2BF" w14:textId="7DB9955E" w:rsidR="008D17C2" w:rsidRPr="003474BD" w:rsidRDefault="002F5DE2" w:rsidP="008D17C2">
      <w:pPr>
        <w:spacing w:before="120" w:after="120" w:line="312" w:lineRule="auto"/>
        <w:jc w:val="both"/>
        <w:rPr>
          <w:b/>
          <w:color w:val="000000" w:themeColor="text1"/>
        </w:rPr>
      </w:pPr>
      <w:r>
        <w:rPr>
          <w:b/>
          <w:color w:val="000000" w:themeColor="text1"/>
        </w:rPr>
        <w:t>4</w:t>
      </w:r>
      <w:r w:rsidR="008D17C2" w:rsidRPr="003474BD">
        <w:rPr>
          <w:b/>
          <w:color w:val="000000" w:themeColor="text1"/>
        </w:rPr>
        <w:t xml:space="preserve">) </w:t>
      </w:r>
      <w:r w:rsidR="008D17C2" w:rsidRPr="003474BD">
        <w:rPr>
          <w:bCs/>
          <w:color w:val="000000" w:themeColor="text1"/>
        </w:rPr>
        <w:t>Проектна готовност за изпълнение на инвестицията</w:t>
      </w:r>
    </w:p>
    <w:p w14:paraId="6A8BE177" w14:textId="3C966623" w:rsidR="008D17C2" w:rsidRPr="00A65854" w:rsidRDefault="00E15A61" w:rsidP="008D17C2">
      <w:pPr>
        <w:spacing w:line="312" w:lineRule="auto"/>
        <w:jc w:val="both"/>
        <w:rPr>
          <w:color w:val="000000" w:themeColor="text1"/>
        </w:rPr>
      </w:pPr>
      <w:r w:rsidRPr="00A65854">
        <w:rPr>
          <w:color w:val="000000" w:themeColor="text1"/>
        </w:rPr>
        <w:t>К</w:t>
      </w:r>
      <w:r w:rsidR="008D17C2" w:rsidRPr="00A65854">
        <w:rPr>
          <w:color w:val="000000" w:themeColor="text1"/>
        </w:rPr>
        <w:t>андидатът следва да представи минимум следните документи:</w:t>
      </w:r>
    </w:p>
    <w:p w14:paraId="535E4F53" w14:textId="162951B8" w:rsidR="008D17C2" w:rsidRPr="00A65854" w:rsidRDefault="00E15A61" w:rsidP="008D17C2">
      <w:pPr>
        <w:spacing w:line="312" w:lineRule="auto"/>
        <w:jc w:val="both"/>
        <w:rPr>
          <w:color w:val="000000" w:themeColor="text1"/>
        </w:rPr>
      </w:pPr>
      <w:r w:rsidRPr="00A65854">
        <w:rPr>
          <w:color w:val="000000" w:themeColor="text1"/>
        </w:rPr>
        <w:t>а</w:t>
      </w:r>
      <w:r w:rsidR="008D17C2" w:rsidRPr="00A65854">
        <w:rPr>
          <w:color w:val="000000" w:themeColor="text1"/>
        </w:rPr>
        <w:t>)</w:t>
      </w:r>
      <w:r w:rsidR="008D17C2" w:rsidRPr="00A65854">
        <w:rPr>
          <w:color w:val="000000" w:themeColor="text1"/>
        </w:rPr>
        <w:tab/>
      </w:r>
      <w:r w:rsidR="008D17C2" w:rsidRPr="00E57C4A">
        <w:rPr>
          <w:color w:val="000000" w:themeColor="text1"/>
        </w:rPr>
        <w:t xml:space="preserve">заверено копие от </w:t>
      </w:r>
      <w:r w:rsidR="00A04518" w:rsidRPr="00E57C4A">
        <w:rPr>
          <w:color w:val="000000" w:themeColor="text1"/>
        </w:rPr>
        <w:t xml:space="preserve">валидно </w:t>
      </w:r>
      <w:r w:rsidR="00F653B3" w:rsidRPr="00E57C4A">
        <w:rPr>
          <w:color w:val="000000" w:themeColor="text1"/>
        </w:rPr>
        <w:t>становище за присъединяване</w:t>
      </w:r>
      <w:r w:rsidR="004C739A" w:rsidRPr="00E57C4A">
        <w:rPr>
          <w:color w:val="000000" w:themeColor="text1"/>
        </w:rPr>
        <w:t xml:space="preserve">, </w:t>
      </w:r>
      <w:r w:rsidR="00A04518" w:rsidRPr="00E57C4A">
        <w:rPr>
          <w:color w:val="000000" w:themeColor="text1"/>
        </w:rPr>
        <w:t xml:space="preserve">действащ </w:t>
      </w:r>
      <w:r w:rsidR="004C739A" w:rsidRPr="00E57C4A">
        <w:rPr>
          <w:color w:val="000000" w:themeColor="text1"/>
        </w:rPr>
        <w:t xml:space="preserve">предварителен договор за присъединяване или </w:t>
      </w:r>
      <w:r w:rsidR="00A04518" w:rsidRPr="00E57C4A">
        <w:rPr>
          <w:color w:val="000000" w:themeColor="text1"/>
        </w:rPr>
        <w:t xml:space="preserve">действащ </w:t>
      </w:r>
      <w:r w:rsidR="004C739A" w:rsidRPr="00E57C4A">
        <w:rPr>
          <w:color w:val="000000" w:themeColor="text1"/>
        </w:rPr>
        <w:t>договор за присъединяване</w:t>
      </w:r>
      <w:r w:rsidR="00F653B3" w:rsidRPr="00E57C4A">
        <w:rPr>
          <w:color w:val="000000" w:themeColor="text1"/>
        </w:rPr>
        <w:t xml:space="preserve"> от </w:t>
      </w:r>
      <w:r w:rsidR="004C739A" w:rsidRPr="00E57C4A">
        <w:rPr>
          <w:color w:val="000000" w:themeColor="text1"/>
        </w:rPr>
        <w:t>ЕСО</w:t>
      </w:r>
      <w:r w:rsidR="00A04518" w:rsidRPr="00E57C4A">
        <w:rPr>
          <w:color w:val="000000" w:themeColor="text1"/>
        </w:rPr>
        <w:t xml:space="preserve"> ЕАД</w:t>
      </w:r>
      <w:r w:rsidR="00F653B3" w:rsidRPr="00E57C4A">
        <w:rPr>
          <w:color w:val="000000" w:themeColor="text1"/>
        </w:rPr>
        <w:t xml:space="preserve">, от което да е видно, че срокът за присъединяване на съоръжението за съхранение на електрическа енергия е не по-късно от </w:t>
      </w:r>
      <w:r w:rsidR="005478EC" w:rsidRPr="00E57C4A">
        <w:rPr>
          <w:color w:val="000000" w:themeColor="text1"/>
        </w:rPr>
        <w:t>3</w:t>
      </w:r>
      <w:r w:rsidR="00F653B3" w:rsidRPr="00E57C4A">
        <w:rPr>
          <w:color w:val="000000" w:themeColor="text1"/>
        </w:rPr>
        <w:t>1 март 2026 г.</w:t>
      </w:r>
    </w:p>
    <w:p w14:paraId="64160BAD" w14:textId="4F3BAF1A" w:rsidR="008D17C2" w:rsidRPr="00E57C4A" w:rsidRDefault="00E15A61" w:rsidP="008D17C2">
      <w:pPr>
        <w:spacing w:line="312" w:lineRule="auto"/>
        <w:jc w:val="both"/>
        <w:rPr>
          <w:color w:val="000000" w:themeColor="text1"/>
        </w:rPr>
      </w:pPr>
      <w:r w:rsidRPr="00A65854">
        <w:rPr>
          <w:color w:val="000000" w:themeColor="text1"/>
        </w:rPr>
        <w:t>б</w:t>
      </w:r>
      <w:r w:rsidR="008D17C2" w:rsidRPr="00A65854">
        <w:rPr>
          <w:color w:val="000000" w:themeColor="text1"/>
        </w:rPr>
        <w:t>)</w:t>
      </w:r>
      <w:r w:rsidR="008D17C2" w:rsidRPr="00A65854">
        <w:rPr>
          <w:color w:val="000000" w:themeColor="text1"/>
        </w:rPr>
        <w:tab/>
      </w:r>
      <w:r w:rsidR="008D17C2" w:rsidRPr="00E57C4A">
        <w:rPr>
          <w:color w:val="000000" w:themeColor="text1"/>
        </w:rPr>
        <w:t xml:space="preserve">идеен проект (ако за проекта няма пълна проектна готовност към момента на кандидатстване) или технически/работен проект (за проекти в пълна степен на проектна готовност) - документите по б. </w:t>
      </w:r>
      <w:r w:rsidR="0081709C" w:rsidRPr="00E57C4A">
        <w:rPr>
          <w:color w:val="000000" w:themeColor="text1"/>
        </w:rPr>
        <w:t>б</w:t>
      </w:r>
      <w:r w:rsidR="008D17C2" w:rsidRPr="00E57C4A">
        <w:rPr>
          <w:color w:val="000000" w:themeColor="text1"/>
        </w:rPr>
        <w:t xml:space="preserve">) се изготвят от лице с проектантска правоспособност, вписано в съответния регистър на Камарата на инженерите в инвестиционното проектиране. </w:t>
      </w:r>
      <w:r w:rsidR="008D17C2" w:rsidRPr="00E57C4A">
        <w:rPr>
          <w:color w:val="000000" w:themeColor="text1"/>
        </w:rPr>
        <w:lastRenderedPageBreak/>
        <w:t xml:space="preserve">Документите трябва да съдържат минимум следната информация, удостоверяваща обстоятелствата по т. 13.1 </w:t>
      </w:r>
      <w:r w:rsidR="00DC5756" w:rsidRPr="00E57C4A">
        <w:rPr>
          <w:color w:val="000000" w:themeColor="text1"/>
        </w:rPr>
        <w:t>"</w:t>
      </w:r>
      <w:r w:rsidR="008D17C2" w:rsidRPr="00E57C4A">
        <w:rPr>
          <w:color w:val="000000" w:themeColor="text1"/>
        </w:rPr>
        <w:t>Допустими дейности</w:t>
      </w:r>
      <w:r w:rsidR="00DC5756" w:rsidRPr="00E57C4A">
        <w:rPr>
          <w:color w:val="000000" w:themeColor="text1"/>
        </w:rPr>
        <w:t>"</w:t>
      </w:r>
      <w:r w:rsidR="008D17C2" w:rsidRPr="00E57C4A">
        <w:rPr>
          <w:color w:val="000000" w:themeColor="text1"/>
        </w:rPr>
        <w:t>, т. I, подточки 4) - 6) от настоящите Условия за кандидатстване, както следва:</w:t>
      </w:r>
    </w:p>
    <w:p w14:paraId="3CCAD499" w14:textId="28266718" w:rsidR="008D17C2" w:rsidRPr="00E57C4A" w:rsidRDefault="008D17C2" w:rsidP="008D17C2">
      <w:pPr>
        <w:pStyle w:val="ListParagraph"/>
        <w:numPr>
          <w:ilvl w:val="0"/>
          <w:numId w:val="25"/>
        </w:numPr>
        <w:spacing w:line="312" w:lineRule="auto"/>
        <w:rPr>
          <w:rFonts w:ascii="Times New Roman" w:hAnsi="Times New Roman"/>
          <w:color w:val="000000" w:themeColor="text1"/>
          <w:sz w:val="24"/>
          <w:szCs w:val="24"/>
        </w:rPr>
      </w:pPr>
      <w:r w:rsidRPr="00E57C4A">
        <w:rPr>
          <w:rFonts w:ascii="Times New Roman" w:hAnsi="Times New Roman"/>
          <w:color w:val="000000" w:themeColor="text1"/>
          <w:sz w:val="24"/>
          <w:szCs w:val="24"/>
        </w:rPr>
        <w:t>точният адрес</w:t>
      </w:r>
      <w:r w:rsidR="00E15A61" w:rsidRPr="00E57C4A">
        <w:rPr>
          <w:rFonts w:ascii="Times New Roman" w:hAnsi="Times New Roman"/>
          <w:color w:val="000000" w:themeColor="text1"/>
          <w:sz w:val="24"/>
          <w:szCs w:val="24"/>
        </w:rPr>
        <w:t xml:space="preserve"> или местоположение</w:t>
      </w:r>
      <w:r w:rsidRPr="00E57C4A">
        <w:rPr>
          <w:rFonts w:ascii="Times New Roman" w:hAnsi="Times New Roman"/>
          <w:color w:val="000000" w:themeColor="text1"/>
          <w:sz w:val="24"/>
          <w:szCs w:val="24"/>
        </w:rPr>
        <w:t xml:space="preserve"> на </w:t>
      </w:r>
      <w:r w:rsidR="00E15A61" w:rsidRPr="00E57C4A">
        <w:rPr>
          <w:rFonts w:ascii="Times New Roman" w:hAnsi="Times New Roman"/>
          <w:color w:val="000000" w:themeColor="text1"/>
          <w:sz w:val="24"/>
          <w:szCs w:val="24"/>
        </w:rPr>
        <w:t>съоръжението за съхранение</w:t>
      </w:r>
      <w:r w:rsidRPr="00E57C4A">
        <w:rPr>
          <w:rFonts w:ascii="Times New Roman" w:hAnsi="Times New Roman"/>
          <w:color w:val="000000" w:themeColor="text1"/>
          <w:sz w:val="24"/>
          <w:szCs w:val="24"/>
        </w:rPr>
        <w:t>;</w:t>
      </w:r>
    </w:p>
    <w:p w14:paraId="6C09044D" w14:textId="46265BA1" w:rsidR="008D17C2" w:rsidRPr="00E57C4A" w:rsidRDefault="008D17C2" w:rsidP="008D17C2">
      <w:pPr>
        <w:pStyle w:val="ListParagraph"/>
        <w:numPr>
          <w:ilvl w:val="0"/>
          <w:numId w:val="25"/>
        </w:numPr>
        <w:spacing w:line="312" w:lineRule="auto"/>
        <w:rPr>
          <w:rFonts w:ascii="Times New Roman" w:hAnsi="Times New Roman"/>
          <w:color w:val="000000" w:themeColor="text1"/>
          <w:sz w:val="24"/>
          <w:szCs w:val="24"/>
        </w:rPr>
      </w:pPr>
      <w:r w:rsidRPr="00E57C4A">
        <w:rPr>
          <w:rFonts w:ascii="Times New Roman" w:hAnsi="Times New Roman"/>
          <w:color w:val="000000" w:themeColor="text1"/>
          <w:sz w:val="24"/>
          <w:szCs w:val="24"/>
        </w:rPr>
        <w:t xml:space="preserve">инсталирана мощност на </w:t>
      </w:r>
      <w:r w:rsidR="00E15A61" w:rsidRPr="00E57C4A">
        <w:rPr>
          <w:rFonts w:ascii="Times New Roman" w:hAnsi="Times New Roman"/>
          <w:color w:val="000000" w:themeColor="text1"/>
          <w:sz w:val="24"/>
          <w:szCs w:val="24"/>
        </w:rPr>
        <w:t>съоръжението за съхранение</w:t>
      </w:r>
      <w:r w:rsidRPr="00E57C4A">
        <w:rPr>
          <w:rFonts w:ascii="Times New Roman" w:hAnsi="Times New Roman"/>
          <w:color w:val="000000" w:themeColor="text1"/>
          <w:sz w:val="24"/>
          <w:szCs w:val="24"/>
        </w:rPr>
        <w:t>, MW;</w:t>
      </w:r>
    </w:p>
    <w:p w14:paraId="30F6F064" w14:textId="52F111D8" w:rsidR="008D17C2" w:rsidRPr="00E57C4A" w:rsidRDefault="008D17C2" w:rsidP="008D17C2">
      <w:pPr>
        <w:pStyle w:val="ListParagraph"/>
        <w:numPr>
          <w:ilvl w:val="0"/>
          <w:numId w:val="25"/>
        </w:numPr>
        <w:spacing w:line="312" w:lineRule="auto"/>
        <w:rPr>
          <w:rFonts w:ascii="Times New Roman" w:hAnsi="Times New Roman"/>
          <w:color w:val="000000" w:themeColor="text1"/>
          <w:sz w:val="24"/>
          <w:szCs w:val="24"/>
        </w:rPr>
      </w:pPr>
      <w:r w:rsidRPr="00E57C4A">
        <w:rPr>
          <w:rFonts w:ascii="Times New Roman" w:hAnsi="Times New Roman"/>
          <w:color w:val="000000" w:themeColor="text1"/>
          <w:sz w:val="24"/>
          <w:szCs w:val="24"/>
        </w:rPr>
        <w:t>капацитет на инсталиран</w:t>
      </w:r>
      <w:r w:rsidR="00E15A61" w:rsidRPr="00E57C4A">
        <w:rPr>
          <w:rFonts w:ascii="Times New Roman" w:hAnsi="Times New Roman"/>
          <w:color w:val="000000" w:themeColor="text1"/>
          <w:sz w:val="24"/>
          <w:szCs w:val="24"/>
        </w:rPr>
        <w:t>ото</w:t>
      </w:r>
      <w:r w:rsidRPr="00E57C4A">
        <w:rPr>
          <w:rFonts w:ascii="Times New Roman" w:hAnsi="Times New Roman"/>
          <w:color w:val="000000" w:themeColor="text1"/>
          <w:sz w:val="24"/>
          <w:szCs w:val="24"/>
        </w:rPr>
        <w:t xml:space="preserve"> съоръжени</w:t>
      </w:r>
      <w:r w:rsidR="00E15A61" w:rsidRPr="00E57C4A">
        <w:rPr>
          <w:rFonts w:ascii="Times New Roman" w:hAnsi="Times New Roman"/>
          <w:color w:val="000000" w:themeColor="text1"/>
          <w:sz w:val="24"/>
          <w:szCs w:val="24"/>
        </w:rPr>
        <w:t>е</w:t>
      </w:r>
      <w:r w:rsidRPr="00E57C4A">
        <w:rPr>
          <w:rFonts w:ascii="Times New Roman" w:hAnsi="Times New Roman"/>
          <w:color w:val="000000" w:themeColor="text1"/>
          <w:sz w:val="24"/>
          <w:szCs w:val="24"/>
        </w:rPr>
        <w:t xml:space="preserve"> за съхранение, МWh.</w:t>
      </w:r>
    </w:p>
    <w:p w14:paraId="0C70EDE5" w14:textId="5408DD0A" w:rsidR="008D17C2" w:rsidRPr="00E57C4A" w:rsidRDefault="008D17C2" w:rsidP="008D17C2">
      <w:pPr>
        <w:pStyle w:val="ListParagraph"/>
        <w:numPr>
          <w:ilvl w:val="0"/>
          <w:numId w:val="25"/>
        </w:numPr>
        <w:spacing w:line="312" w:lineRule="auto"/>
        <w:rPr>
          <w:rFonts w:ascii="Times New Roman" w:hAnsi="Times New Roman"/>
          <w:color w:val="000000" w:themeColor="text1"/>
          <w:sz w:val="24"/>
          <w:szCs w:val="24"/>
        </w:rPr>
      </w:pPr>
      <w:r w:rsidRPr="00E57C4A">
        <w:rPr>
          <w:rFonts w:ascii="Times New Roman" w:hAnsi="Times New Roman"/>
          <w:color w:val="000000" w:themeColor="text1"/>
          <w:sz w:val="24"/>
          <w:szCs w:val="24"/>
        </w:rPr>
        <w:t xml:space="preserve">инсталиране на </w:t>
      </w:r>
      <w:r w:rsidR="00E15A61" w:rsidRPr="00E57C4A">
        <w:rPr>
          <w:rFonts w:ascii="Times New Roman" w:hAnsi="Times New Roman"/>
          <w:color w:val="000000" w:themeColor="text1"/>
          <w:sz w:val="24"/>
          <w:szCs w:val="24"/>
        </w:rPr>
        <w:t>съоръжение за съхранение</w:t>
      </w:r>
      <w:r w:rsidRPr="00E57C4A">
        <w:rPr>
          <w:rFonts w:ascii="Times New Roman" w:hAnsi="Times New Roman"/>
          <w:color w:val="000000" w:themeColor="text1"/>
          <w:sz w:val="24"/>
          <w:szCs w:val="24"/>
        </w:rPr>
        <w:t xml:space="preserve"> със следните характеристики: </w:t>
      </w:r>
    </w:p>
    <w:p w14:paraId="68D5CF87" w14:textId="77777777" w:rsidR="00B13481" w:rsidRPr="00E57C4A" w:rsidRDefault="00B13481" w:rsidP="007771CB">
      <w:pPr>
        <w:pStyle w:val="ListParagraph"/>
        <w:numPr>
          <w:ilvl w:val="0"/>
          <w:numId w:val="26"/>
        </w:numPr>
        <w:spacing w:line="312" w:lineRule="auto"/>
        <w:ind w:left="1134" w:hanging="425"/>
        <w:rPr>
          <w:rFonts w:ascii="Times New Roman" w:hAnsi="Times New Roman"/>
          <w:color w:val="000000" w:themeColor="text1"/>
          <w:sz w:val="24"/>
          <w:szCs w:val="24"/>
        </w:rPr>
      </w:pPr>
      <w:r w:rsidRPr="00E57C4A">
        <w:rPr>
          <w:rFonts w:ascii="Times New Roman" w:hAnsi="Times New Roman"/>
          <w:color w:val="000000" w:themeColor="text1"/>
          <w:sz w:val="24"/>
          <w:szCs w:val="24"/>
        </w:rPr>
        <w:t>гарантиран (полезен) капацитет за продължителност на съхранението от най-малко 2 часа (дефиниран като отношението на гарантирания капацитет на съоръжение-то за съхранение, в MWh, към неговата максимална мощност на зареждане/разреждане в MW) да е с най-малко 2 часа (C-Rate да е максимум C/2);</w:t>
      </w:r>
    </w:p>
    <w:p w14:paraId="6D876C25" w14:textId="2646910B" w:rsidR="00B13481" w:rsidRPr="00E57C4A" w:rsidRDefault="00B13481" w:rsidP="007771CB">
      <w:pPr>
        <w:pStyle w:val="ListParagraph"/>
        <w:numPr>
          <w:ilvl w:val="0"/>
          <w:numId w:val="26"/>
        </w:numPr>
        <w:spacing w:line="312" w:lineRule="auto"/>
        <w:ind w:left="1134" w:hanging="425"/>
        <w:rPr>
          <w:rFonts w:ascii="Times New Roman" w:hAnsi="Times New Roman"/>
          <w:color w:val="000000" w:themeColor="text1"/>
          <w:sz w:val="24"/>
          <w:szCs w:val="24"/>
        </w:rPr>
      </w:pPr>
      <w:r w:rsidRPr="00E57C4A">
        <w:rPr>
          <w:rFonts w:ascii="Times New Roman" w:hAnsi="Times New Roman"/>
          <w:color w:val="000000" w:themeColor="text1"/>
          <w:sz w:val="24"/>
          <w:szCs w:val="24"/>
        </w:rPr>
        <w:t>номинална променливотокова мощност (AС мощност) от минимум 1</w:t>
      </w:r>
      <w:r w:rsidR="00D03C9A" w:rsidRPr="00E57C4A">
        <w:rPr>
          <w:rFonts w:ascii="Times New Roman" w:hAnsi="Times New Roman"/>
          <w:color w:val="000000" w:themeColor="text1"/>
          <w:sz w:val="24"/>
          <w:szCs w:val="24"/>
        </w:rPr>
        <w:t>0</w:t>
      </w:r>
      <w:r w:rsidRPr="00E57C4A">
        <w:rPr>
          <w:rFonts w:ascii="Times New Roman" w:hAnsi="Times New Roman"/>
          <w:color w:val="000000" w:themeColor="text1"/>
          <w:sz w:val="24"/>
          <w:szCs w:val="24"/>
        </w:rPr>
        <w:t xml:space="preserve"> MW;</w:t>
      </w:r>
    </w:p>
    <w:p w14:paraId="3DDC0A8D" w14:textId="7790A227" w:rsidR="00B13481" w:rsidRPr="00E57C4A" w:rsidRDefault="005478EC" w:rsidP="007771CB">
      <w:pPr>
        <w:pStyle w:val="ListParagraph"/>
        <w:numPr>
          <w:ilvl w:val="0"/>
          <w:numId w:val="26"/>
        </w:numPr>
        <w:spacing w:line="312" w:lineRule="auto"/>
        <w:ind w:left="1134" w:hanging="425"/>
        <w:rPr>
          <w:rFonts w:ascii="Times New Roman" w:hAnsi="Times New Roman"/>
          <w:color w:val="000000" w:themeColor="text1"/>
          <w:sz w:val="24"/>
          <w:szCs w:val="24"/>
        </w:rPr>
      </w:pPr>
      <w:r w:rsidRPr="00A65854">
        <w:t xml:space="preserve"> </w:t>
      </w:r>
      <w:r w:rsidRPr="00A65854">
        <w:rPr>
          <w:rFonts w:ascii="Times New Roman" w:hAnsi="Times New Roman"/>
          <w:color w:val="000000" w:themeColor="text1"/>
          <w:sz w:val="24"/>
          <w:szCs w:val="24"/>
        </w:rPr>
        <w:t xml:space="preserve">да отговарят на </w:t>
      </w:r>
      <w:bookmarkStart w:id="87" w:name="_Hlk169706489"/>
      <w:r w:rsidRPr="00A65854">
        <w:rPr>
          <w:rFonts w:ascii="Times New Roman" w:hAnsi="Times New Roman"/>
          <w:color w:val="000000" w:themeColor="text1"/>
          <w:sz w:val="24"/>
          <w:szCs w:val="24"/>
        </w:rPr>
        <w:t>параметри</w:t>
      </w:r>
      <w:r w:rsidR="005B1979" w:rsidRPr="00A65854">
        <w:rPr>
          <w:rFonts w:ascii="Times New Roman" w:hAnsi="Times New Roman"/>
          <w:color w:val="000000" w:themeColor="text1"/>
          <w:sz w:val="24"/>
          <w:szCs w:val="24"/>
        </w:rPr>
        <w:t>те</w:t>
      </w:r>
      <w:r w:rsidRPr="00A65854">
        <w:rPr>
          <w:rFonts w:ascii="Times New Roman" w:hAnsi="Times New Roman"/>
          <w:color w:val="000000" w:themeColor="text1"/>
          <w:sz w:val="24"/>
          <w:szCs w:val="24"/>
        </w:rPr>
        <w:t xml:space="preserve"> за осигуряване на резерви за първично регулиране на честотата </w:t>
      </w:r>
      <w:r w:rsidR="005B1979" w:rsidRPr="00A65854">
        <w:rPr>
          <w:rFonts w:ascii="Times New Roman" w:hAnsi="Times New Roman"/>
          <w:color w:val="000000" w:themeColor="text1"/>
          <w:sz w:val="24"/>
          <w:szCs w:val="24"/>
        </w:rPr>
        <w:t>и</w:t>
      </w:r>
      <w:r w:rsidRPr="00A65854">
        <w:rPr>
          <w:rFonts w:ascii="Times New Roman" w:hAnsi="Times New Roman"/>
          <w:color w:val="000000" w:themeColor="text1"/>
          <w:sz w:val="24"/>
          <w:szCs w:val="24"/>
        </w:rPr>
        <w:t>/</w:t>
      </w:r>
      <w:r w:rsidR="005B1979" w:rsidRPr="00A65854">
        <w:rPr>
          <w:rFonts w:ascii="Times New Roman" w:hAnsi="Times New Roman"/>
          <w:color w:val="000000" w:themeColor="text1"/>
          <w:sz w:val="24"/>
          <w:szCs w:val="24"/>
        </w:rPr>
        <w:t xml:space="preserve">или </w:t>
      </w:r>
      <w:r w:rsidRPr="00A65854">
        <w:rPr>
          <w:rFonts w:ascii="Times New Roman" w:hAnsi="Times New Roman"/>
          <w:color w:val="000000" w:themeColor="text1"/>
          <w:sz w:val="24"/>
          <w:szCs w:val="24"/>
        </w:rPr>
        <w:t xml:space="preserve"> автоматично вторично регулиране на честотата и обменните мощнос</w:t>
      </w:r>
      <w:r w:rsidR="005B1979" w:rsidRPr="00A65854">
        <w:rPr>
          <w:rFonts w:ascii="Times New Roman" w:hAnsi="Times New Roman"/>
          <w:color w:val="000000" w:themeColor="text1"/>
          <w:sz w:val="24"/>
          <w:szCs w:val="24"/>
        </w:rPr>
        <w:t xml:space="preserve">т </w:t>
      </w:r>
      <w:bookmarkEnd w:id="87"/>
      <w:r w:rsidR="005B1979" w:rsidRPr="00A65854">
        <w:rPr>
          <w:rFonts w:ascii="Times New Roman" w:hAnsi="Times New Roman"/>
          <w:color w:val="000000" w:themeColor="text1"/>
          <w:sz w:val="24"/>
          <w:szCs w:val="24"/>
        </w:rPr>
        <w:t>съгласно Приложение 8 – Минимални технически изисквания</w:t>
      </w:r>
      <w:r w:rsidR="00B13481" w:rsidRPr="00E57C4A">
        <w:rPr>
          <w:rFonts w:ascii="Times New Roman" w:hAnsi="Times New Roman"/>
          <w:color w:val="000000" w:themeColor="text1"/>
          <w:sz w:val="24"/>
          <w:szCs w:val="24"/>
        </w:rPr>
        <w:t xml:space="preserve">. </w:t>
      </w:r>
    </w:p>
    <w:p w14:paraId="41651140" w14:textId="717C765B" w:rsidR="008D17C2" w:rsidRPr="00E57C4A" w:rsidRDefault="008F3227" w:rsidP="007771CB">
      <w:pPr>
        <w:pStyle w:val="ListParagraph"/>
        <w:numPr>
          <w:ilvl w:val="0"/>
          <w:numId w:val="26"/>
        </w:numPr>
        <w:spacing w:line="312" w:lineRule="auto"/>
        <w:ind w:left="1134" w:hanging="425"/>
        <w:rPr>
          <w:rFonts w:ascii="Times New Roman" w:hAnsi="Times New Roman"/>
          <w:color w:val="000000" w:themeColor="text1"/>
          <w:sz w:val="24"/>
          <w:szCs w:val="24"/>
        </w:rPr>
      </w:pPr>
      <w:r w:rsidRPr="00E57C4A">
        <w:rPr>
          <w:rFonts w:ascii="Times New Roman" w:hAnsi="Times New Roman"/>
          <w:color w:val="000000" w:themeColor="text1"/>
          <w:sz w:val="24"/>
          <w:szCs w:val="24"/>
        </w:rPr>
        <w:t>п</w:t>
      </w:r>
      <w:r w:rsidR="008D17C2" w:rsidRPr="00E57C4A">
        <w:rPr>
          <w:rFonts w:ascii="Times New Roman" w:hAnsi="Times New Roman"/>
          <w:color w:val="000000" w:themeColor="text1"/>
          <w:sz w:val="24"/>
          <w:szCs w:val="24"/>
        </w:rPr>
        <w:t xml:space="preserve">лощ в кв. м., на която ще се разположи/изгради </w:t>
      </w:r>
      <w:r w:rsidR="0081709C" w:rsidRPr="00E57C4A">
        <w:rPr>
          <w:rFonts w:ascii="Times New Roman" w:hAnsi="Times New Roman"/>
          <w:color w:val="000000" w:themeColor="text1"/>
          <w:sz w:val="24"/>
          <w:szCs w:val="24"/>
        </w:rPr>
        <w:t>съоръжението за съхранение</w:t>
      </w:r>
      <w:r w:rsidR="008D17C2" w:rsidRPr="00E57C4A">
        <w:rPr>
          <w:rFonts w:ascii="Times New Roman" w:hAnsi="Times New Roman"/>
          <w:color w:val="000000" w:themeColor="text1"/>
          <w:sz w:val="24"/>
          <w:szCs w:val="24"/>
        </w:rPr>
        <w:t>.</w:t>
      </w:r>
    </w:p>
    <w:p w14:paraId="5D539120" w14:textId="77777777" w:rsidR="008D17C2" w:rsidRPr="003474BD" w:rsidRDefault="008D17C2" w:rsidP="008D17C2">
      <w:pPr>
        <w:pStyle w:val="ListParagraph"/>
        <w:spacing w:line="312" w:lineRule="auto"/>
        <w:ind w:left="1276"/>
        <w:rPr>
          <w:rFonts w:ascii="Times New Roman" w:hAnsi="Times New Roman"/>
          <w:color w:val="000000" w:themeColor="text1"/>
          <w:sz w:val="24"/>
          <w:szCs w:val="24"/>
        </w:rPr>
      </w:pPr>
    </w:p>
    <w:p w14:paraId="69F36066" w14:textId="77777777" w:rsidR="008D17C2" w:rsidRPr="003474BD" w:rsidRDefault="008D17C2" w:rsidP="008D17C2">
      <w:pPr>
        <w:pBdr>
          <w:top w:val="double" w:sz="4" w:space="1" w:color="538135"/>
          <w:left w:val="double" w:sz="4" w:space="4" w:color="538135"/>
          <w:bottom w:val="double" w:sz="4" w:space="1" w:color="538135"/>
          <w:right w:val="double" w:sz="4" w:space="4" w:color="538135"/>
        </w:pBdr>
        <w:spacing w:before="120" w:after="120" w:line="312" w:lineRule="auto"/>
        <w:jc w:val="both"/>
        <w:rPr>
          <w:b/>
          <w:bCs/>
          <w:color w:val="000000" w:themeColor="text1"/>
          <w:highlight w:val="yellow"/>
        </w:rPr>
      </w:pPr>
      <w:r w:rsidRPr="003474BD">
        <w:rPr>
          <w:b/>
          <w:bCs/>
          <w:color w:val="000000" w:themeColor="text1"/>
        </w:rPr>
        <w:t>ВАЖНО:</w:t>
      </w:r>
      <w:r w:rsidRPr="003474BD">
        <w:rPr>
          <w:color w:val="000000" w:themeColor="text1"/>
        </w:rPr>
        <w:t xml:space="preserve"> Кандидатът носи пълната отговорност за качеството и пълнотата на разработената техническа документация, включително за законосъобразността при изготвянето, съгласуването и одобряването ѝ в качеството му на Възложител по проекта. Готовият работен/технически проект трябва да бъде изготвен и одобрен съгласно приложимата нормативна уредба, включително Закона за устройство на територията (ЗУТ) и Наредба № 4 за обхвата и съдържанието на инвестиционните проекти.</w:t>
      </w:r>
    </w:p>
    <w:p w14:paraId="38C618D9" w14:textId="77777777" w:rsidR="008D17C2" w:rsidRPr="003474BD" w:rsidRDefault="008D17C2" w:rsidP="008D17C2">
      <w:pPr>
        <w:pBdr>
          <w:top w:val="double" w:sz="4" w:space="1" w:color="538135"/>
          <w:left w:val="double" w:sz="4" w:space="4" w:color="538135"/>
          <w:bottom w:val="double" w:sz="4" w:space="1" w:color="538135"/>
          <w:right w:val="double" w:sz="4" w:space="4" w:color="538135"/>
        </w:pBdr>
        <w:spacing w:before="120" w:after="120" w:line="312" w:lineRule="auto"/>
        <w:jc w:val="both"/>
        <w:rPr>
          <w:color w:val="000000" w:themeColor="text1"/>
          <w:highlight w:val="yellow"/>
        </w:rPr>
      </w:pPr>
      <w:r w:rsidRPr="003474BD">
        <w:rPr>
          <w:color w:val="000000" w:themeColor="text1"/>
        </w:rPr>
        <w:t>Задължение на крайния получател е да съхранява към проекта оригинал на техническата документация в целия ѝ наличен обем и свързаната с нея налична документация (съгласувания, одобрения, разрешения и др.).</w:t>
      </w:r>
    </w:p>
    <w:p w14:paraId="22B416F9" w14:textId="4E1061DD" w:rsidR="008D17C2" w:rsidRPr="003474BD" w:rsidRDefault="00DC21CD" w:rsidP="008D17C2">
      <w:pPr>
        <w:spacing w:before="120" w:after="120" w:line="312" w:lineRule="auto"/>
        <w:jc w:val="both"/>
      </w:pPr>
      <w:r>
        <w:rPr>
          <w:b/>
          <w:bCs/>
        </w:rPr>
        <w:t>5</w:t>
      </w:r>
      <w:r w:rsidR="008D17C2" w:rsidRPr="003474BD">
        <w:rPr>
          <w:b/>
          <w:bCs/>
        </w:rPr>
        <w:t>)</w:t>
      </w:r>
      <w:r w:rsidR="008D17C2" w:rsidRPr="003474BD">
        <w:t xml:space="preserve"> </w:t>
      </w:r>
      <w:bookmarkStart w:id="88" w:name="_Hlk169707959"/>
      <w:r w:rsidR="008D17C2" w:rsidRPr="003474BD">
        <w:t xml:space="preserve">Банкова гаранция за участие </w:t>
      </w:r>
      <w:bookmarkEnd w:id="88"/>
      <w:r w:rsidR="008D17C2" w:rsidRPr="003474BD">
        <w:t>– оригинал (заверено копие с електронните документи и оригинал чрез куриер или лично в МЕ в срок до 5 дни след крайния срок за подаване на предложения за изпълнение на инвестицията)</w:t>
      </w:r>
    </w:p>
    <w:p w14:paraId="71E215A3" w14:textId="10C2CAA4" w:rsidR="008D17C2" w:rsidRPr="003474BD" w:rsidRDefault="00DC21CD" w:rsidP="008D17C2">
      <w:pPr>
        <w:spacing w:before="120" w:after="120" w:line="312" w:lineRule="auto"/>
        <w:jc w:val="both"/>
      </w:pPr>
      <w:r>
        <w:rPr>
          <w:b/>
          <w:bCs/>
        </w:rPr>
        <w:t>6</w:t>
      </w:r>
      <w:r w:rsidR="008D17C2" w:rsidRPr="003474BD">
        <w:rPr>
          <w:b/>
          <w:bCs/>
        </w:rPr>
        <w:t>)</w:t>
      </w:r>
      <w:r w:rsidR="008D17C2" w:rsidRPr="003474BD">
        <w:t xml:space="preserve"> </w:t>
      </w:r>
      <w:bookmarkStart w:id="89" w:name="_Hlk169708054"/>
      <w:r w:rsidR="008D17C2" w:rsidRPr="003474BD">
        <w:t xml:space="preserve">Формуляр за самооценка за спазване на принципа за </w:t>
      </w:r>
      <w:r w:rsidR="00DC5756" w:rsidRPr="003474BD">
        <w:t>"</w:t>
      </w:r>
      <w:r w:rsidR="008D17C2" w:rsidRPr="003474BD">
        <w:t>ненанасяне на значителни вреди</w:t>
      </w:r>
      <w:r w:rsidR="00DC5756" w:rsidRPr="003474BD">
        <w:t>"</w:t>
      </w:r>
      <w:bookmarkEnd w:id="89"/>
      <w:r w:rsidR="008D17C2" w:rsidRPr="003474BD">
        <w:t xml:space="preserve"> (по образец - Приложение </w:t>
      </w:r>
      <w:r w:rsidR="00765618">
        <w:rPr>
          <w:lang w:val="en-US"/>
        </w:rPr>
        <w:t>7</w:t>
      </w:r>
      <w:r w:rsidR="008D17C2" w:rsidRPr="003474BD">
        <w:t>)</w:t>
      </w:r>
    </w:p>
    <w:p w14:paraId="5A2FABC9" w14:textId="1BE4C262" w:rsidR="00511289" w:rsidRPr="003474BD" w:rsidRDefault="00DC21CD" w:rsidP="008D17C2">
      <w:pPr>
        <w:suppressAutoHyphens/>
        <w:spacing w:before="120" w:after="120" w:line="312" w:lineRule="auto"/>
        <w:jc w:val="both"/>
      </w:pPr>
      <w:r>
        <w:rPr>
          <w:b/>
        </w:rPr>
        <w:lastRenderedPageBreak/>
        <w:t>7</w:t>
      </w:r>
      <w:r w:rsidR="008D17C2" w:rsidRPr="003474BD">
        <w:rPr>
          <w:b/>
        </w:rPr>
        <w:t>)</w:t>
      </w:r>
      <w:r w:rsidR="008D17C2" w:rsidRPr="003474BD">
        <w:t xml:space="preserve"> Финансови отчети и/или консолидирани финансови отчети за последната приключена финансова година</w:t>
      </w:r>
      <w:r w:rsidR="008D17C2" w:rsidRPr="00A04518">
        <w:t xml:space="preserve">, както и годишен отчет за дейността за последните </w:t>
      </w:r>
      <w:r w:rsidR="00F653B3" w:rsidRPr="00A04518">
        <w:t>две</w:t>
      </w:r>
      <w:r w:rsidR="008D17C2" w:rsidRPr="00A04518">
        <w:t xml:space="preserve"> приключени финансови години</w:t>
      </w:r>
      <w:r w:rsidR="00765618">
        <w:rPr>
          <w:lang w:val="en-US"/>
        </w:rPr>
        <w:t xml:space="preserve"> </w:t>
      </w:r>
      <w:r w:rsidR="00765618">
        <w:t xml:space="preserve">и/или </w:t>
      </w:r>
      <w:r w:rsidR="00765618" w:rsidRPr="00086F51">
        <w:t>одитиран междинен финансов отчет</w:t>
      </w:r>
      <w:r w:rsidR="00765618">
        <w:t xml:space="preserve"> или междинен консолидиран финансов отчет</w:t>
      </w:r>
      <w:r w:rsidR="00F653B3" w:rsidRPr="00A04518">
        <w:t>.</w:t>
      </w:r>
    </w:p>
    <w:p w14:paraId="087B5AE6" w14:textId="43C8298F" w:rsidR="003F1496" w:rsidRPr="003474BD" w:rsidRDefault="003F1496" w:rsidP="00A42091">
      <w:pPr>
        <w:pStyle w:val="Heading2"/>
        <w:suppressAutoHyphens/>
        <w:spacing w:after="120" w:line="312" w:lineRule="auto"/>
        <w:rPr>
          <w:rFonts w:ascii="Times New Roman" w:hAnsi="Times New Roman"/>
          <w:sz w:val="24"/>
          <w:szCs w:val="24"/>
        </w:rPr>
      </w:pPr>
      <w:bookmarkStart w:id="90" w:name="_Toc106285950"/>
      <w:bookmarkStart w:id="91" w:name="_Toc166258059"/>
      <w:r w:rsidRPr="003474BD">
        <w:rPr>
          <w:rFonts w:ascii="Times New Roman" w:hAnsi="Times New Roman"/>
          <w:sz w:val="24"/>
          <w:szCs w:val="24"/>
        </w:rPr>
        <w:t>2</w:t>
      </w:r>
      <w:r w:rsidR="009E1720" w:rsidRPr="003474BD">
        <w:rPr>
          <w:rFonts w:ascii="Times New Roman" w:hAnsi="Times New Roman"/>
          <w:sz w:val="24"/>
          <w:szCs w:val="24"/>
        </w:rPr>
        <w:t>1</w:t>
      </w:r>
      <w:r w:rsidRPr="003474BD">
        <w:rPr>
          <w:rFonts w:ascii="Times New Roman" w:hAnsi="Times New Roman"/>
          <w:sz w:val="24"/>
          <w:szCs w:val="24"/>
        </w:rPr>
        <w:t>. Краен срок за подаване на предложенията за изпълнение на инвестиция:</w:t>
      </w:r>
      <w:bookmarkEnd w:id="90"/>
      <w:bookmarkEnd w:id="91"/>
      <w:r w:rsidRPr="003474BD" w:rsidDel="0063166B">
        <w:rPr>
          <w:rFonts w:ascii="Times New Roman" w:hAnsi="Times New Roman"/>
          <w:sz w:val="24"/>
          <w:szCs w:val="24"/>
        </w:rPr>
        <w:t xml:space="preserve"> </w:t>
      </w:r>
    </w:p>
    <w:p w14:paraId="7F5ADEFA" w14:textId="0A024DE6" w:rsidR="003F1496" w:rsidRPr="003474BD" w:rsidRDefault="003F1496" w:rsidP="00A42091">
      <w:pPr>
        <w:suppressAutoHyphens/>
        <w:spacing w:before="120" w:after="120" w:line="312" w:lineRule="auto"/>
        <w:jc w:val="both"/>
      </w:pPr>
      <w:r w:rsidRPr="003474BD">
        <w:t xml:space="preserve">Крайният срок за подаване на предложения за изпълнение на инвестиция е 16:30 часа на </w:t>
      </w:r>
      <w:r w:rsidR="00765618">
        <w:t>п</w:t>
      </w:r>
      <w:r w:rsidR="00765618" w:rsidRPr="00765618">
        <w:t xml:space="preserve">о-късната от </w:t>
      </w:r>
      <w:r w:rsidR="00765618">
        <w:t xml:space="preserve">следните </w:t>
      </w:r>
      <w:r w:rsidR="00765618" w:rsidRPr="00765618">
        <w:t>две дати: (а) 3 месеца от публикуването на Условията за кандидатстване и (б) 7 дни от одобрението на ЕК на помощта</w:t>
      </w:r>
      <w:r w:rsidR="00765618">
        <w:rPr>
          <w:rStyle w:val="FootnoteReference"/>
        </w:rPr>
        <w:footnoteReference w:id="22"/>
      </w:r>
      <w:r w:rsidRPr="003474BD">
        <w:t>.</w:t>
      </w:r>
    </w:p>
    <w:p w14:paraId="2E7625E5" w14:textId="77777777" w:rsidR="0034446C" w:rsidRPr="003474BD" w:rsidRDefault="0034446C" w:rsidP="00A42091">
      <w:pPr>
        <w:suppressAutoHyphens/>
        <w:spacing w:before="120" w:after="120" w:line="312" w:lineRule="auto"/>
        <w:jc w:val="both"/>
      </w:pPr>
    </w:p>
    <w:p w14:paraId="0263C5F2" w14:textId="1FE15239" w:rsidR="003F1496" w:rsidRPr="003474BD" w:rsidRDefault="003F1496" w:rsidP="00A42091">
      <w:pPr>
        <w:pStyle w:val="Heading2"/>
        <w:suppressAutoHyphens/>
        <w:spacing w:after="120" w:line="312" w:lineRule="auto"/>
        <w:rPr>
          <w:rFonts w:ascii="Times New Roman" w:hAnsi="Times New Roman"/>
          <w:sz w:val="24"/>
          <w:szCs w:val="24"/>
        </w:rPr>
      </w:pPr>
      <w:bookmarkStart w:id="92" w:name="_Toc106285951"/>
      <w:bookmarkStart w:id="93" w:name="_Toc166258060"/>
      <w:r w:rsidRPr="003474BD">
        <w:rPr>
          <w:rFonts w:ascii="Times New Roman" w:hAnsi="Times New Roman"/>
          <w:sz w:val="24"/>
          <w:szCs w:val="24"/>
        </w:rPr>
        <w:t>2</w:t>
      </w:r>
      <w:r w:rsidR="009E1720" w:rsidRPr="003474BD">
        <w:rPr>
          <w:rFonts w:ascii="Times New Roman" w:hAnsi="Times New Roman"/>
          <w:sz w:val="24"/>
          <w:szCs w:val="24"/>
        </w:rPr>
        <w:t>2</w:t>
      </w:r>
      <w:r w:rsidRPr="003474BD">
        <w:rPr>
          <w:rFonts w:ascii="Times New Roman" w:hAnsi="Times New Roman"/>
          <w:sz w:val="24"/>
          <w:szCs w:val="24"/>
        </w:rPr>
        <w:t>. Адрес за подаване на предложенията за изпълнение на инвестиция</w:t>
      </w:r>
      <w:bookmarkEnd w:id="92"/>
      <w:bookmarkEnd w:id="93"/>
    </w:p>
    <w:p w14:paraId="48AD9547" w14:textId="4ED58036" w:rsidR="003F1496" w:rsidRPr="003474BD" w:rsidRDefault="003F1496" w:rsidP="00A42091">
      <w:pPr>
        <w:suppressAutoHyphens/>
        <w:spacing w:before="120" w:after="120" w:line="312" w:lineRule="auto"/>
        <w:jc w:val="both"/>
        <w:rPr>
          <w:rStyle w:val="Hyperlink"/>
          <w:color w:val="auto"/>
        </w:rPr>
      </w:pPr>
      <w:r w:rsidRPr="003474BD">
        <w:t xml:space="preserve">Предложенията за изпълнение на инвестиция по настоящата процедура се подават  изцяло </w:t>
      </w:r>
      <w:r w:rsidR="00424862" w:rsidRPr="003474BD">
        <w:t xml:space="preserve">по </w:t>
      </w:r>
      <w:r w:rsidRPr="003474BD">
        <w:t xml:space="preserve">електронен път чрез ИСМ-ИСУН 2020, раздел НПВУ на следния интернет адрес: </w:t>
      </w:r>
      <w:hyperlink r:id="rId11" w:history="1">
        <w:r w:rsidRPr="003474BD">
          <w:rPr>
            <w:rStyle w:val="Hyperlink"/>
            <w:color w:val="auto"/>
          </w:rPr>
          <w:t>https://eumis2020.government.bg/bg/s/800c457d-e8be-4421-8ed9-9e78d0a75c39/Procedure/Active</w:t>
        </w:r>
      </w:hyperlink>
    </w:p>
    <w:p w14:paraId="46449FC2" w14:textId="2E0D1BA6" w:rsidR="003F1496" w:rsidRPr="003474BD" w:rsidRDefault="00153B53" w:rsidP="00A42091">
      <w:pPr>
        <w:suppressAutoHyphens/>
        <w:spacing w:before="120" w:after="120" w:line="312" w:lineRule="auto"/>
        <w:jc w:val="both"/>
      </w:pPr>
      <w:r w:rsidRPr="003474BD">
        <w:t xml:space="preserve">Банкова гаранция за участие се подава в оригинал чрез куриер или лично в МЕ в срок до 5 дни след крайния срок за подаване на предложения за изпълнение на инвестицията на следния адрес: София 1000, ул. </w:t>
      </w:r>
      <w:r w:rsidR="00DC5756" w:rsidRPr="003474BD">
        <w:t>"</w:t>
      </w:r>
      <w:r w:rsidRPr="003474BD">
        <w:t>Триадица</w:t>
      </w:r>
      <w:r w:rsidR="00DC5756" w:rsidRPr="003474BD">
        <w:t>"</w:t>
      </w:r>
      <w:r w:rsidRPr="003474BD">
        <w:t xml:space="preserve"> 8, Министерство на енергетиката, Директор на дирекция </w:t>
      </w:r>
      <w:r w:rsidR="00DC5756" w:rsidRPr="003474BD">
        <w:t>"</w:t>
      </w:r>
      <w:r w:rsidRPr="003474BD">
        <w:t>Финансово, управление на собствеността, информационно и комуникационно обслужване</w:t>
      </w:r>
      <w:r w:rsidR="00DC5756" w:rsidRPr="003474BD">
        <w:t>"</w:t>
      </w:r>
      <w:r w:rsidRPr="003474BD">
        <w:t>,</w:t>
      </w:r>
      <w:r w:rsidR="003A1AAB" w:rsidRPr="003474BD">
        <w:t>.</w:t>
      </w:r>
    </w:p>
    <w:p w14:paraId="51B1B396" w14:textId="2D804A8D" w:rsidR="003F1496" w:rsidRPr="003474BD" w:rsidRDefault="003F1496" w:rsidP="00A42091">
      <w:pPr>
        <w:pStyle w:val="Heading2"/>
        <w:suppressAutoHyphens/>
        <w:spacing w:after="120" w:line="312" w:lineRule="auto"/>
        <w:rPr>
          <w:rFonts w:ascii="Times New Roman" w:hAnsi="Times New Roman"/>
          <w:color w:val="000000" w:themeColor="text1"/>
          <w:sz w:val="24"/>
          <w:szCs w:val="24"/>
        </w:rPr>
      </w:pPr>
      <w:bookmarkStart w:id="94" w:name="_Toc106285952"/>
      <w:bookmarkStart w:id="95" w:name="_Toc166258061"/>
      <w:r w:rsidRPr="003474BD">
        <w:rPr>
          <w:rFonts w:ascii="Times New Roman" w:hAnsi="Times New Roman"/>
          <w:color w:val="000000" w:themeColor="text1"/>
          <w:sz w:val="24"/>
          <w:szCs w:val="24"/>
        </w:rPr>
        <w:t>2</w:t>
      </w:r>
      <w:r w:rsidR="009E1720" w:rsidRPr="003474BD">
        <w:rPr>
          <w:rFonts w:ascii="Times New Roman" w:hAnsi="Times New Roman"/>
          <w:color w:val="000000" w:themeColor="text1"/>
          <w:sz w:val="24"/>
          <w:szCs w:val="24"/>
        </w:rPr>
        <w:t>3</w:t>
      </w:r>
      <w:r w:rsidRPr="003474BD">
        <w:rPr>
          <w:rFonts w:ascii="Times New Roman" w:hAnsi="Times New Roman"/>
          <w:color w:val="000000" w:themeColor="text1"/>
          <w:sz w:val="24"/>
          <w:szCs w:val="24"/>
        </w:rPr>
        <w:t>. Допълнителна информация:</w:t>
      </w:r>
      <w:bookmarkEnd w:id="94"/>
      <w:bookmarkEnd w:id="95"/>
    </w:p>
    <w:p w14:paraId="294360BA" w14:textId="260017C4" w:rsidR="003F1496" w:rsidRPr="003474BD" w:rsidRDefault="003F1496" w:rsidP="00A42091">
      <w:pPr>
        <w:pStyle w:val="Heading3"/>
        <w:suppressAutoHyphens/>
        <w:spacing w:before="120" w:after="120" w:line="312" w:lineRule="auto"/>
        <w:rPr>
          <w:rFonts w:ascii="Times New Roman" w:hAnsi="Times New Roman"/>
          <w:sz w:val="24"/>
          <w:szCs w:val="24"/>
        </w:rPr>
      </w:pPr>
      <w:bookmarkStart w:id="96" w:name="_Toc166258062"/>
      <w:bookmarkStart w:id="97" w:name="_Toc106374846"/>
      <w:r w:rsidRPr="003474BD">
        <w:rPr>
          <w:rFonts w:ascii="Times New Roman" w:hAnsi="Times New Roman"/>
          <w:sz w:val="24"/>
          <w:szCs w:val="24"/>
        </w:rPr>
        <w:t>2</w:t>
      </w:r>
      <w:r w:rsidR="009E1720" w:rsidRPr="003474BD">
        <w:rPr>
          <w:rFonts w:ascii="Times New Roman" w:hAnsi="Times New Roman"/>
          <w:sz w:val="24"/>
          <w:szCs w:val="24"/>
        </w:rPr>
        <w:t>3</w:t>
      </w:r>
      <w:r w:rsidRPr="003474BD">
        <w:rPr>
          <w:rFonts w:ascii="Times New Roman" w:hAnsi="Times New Roman"/>
          <w:sz w:val="24"/>
          <w:szCs w:val="24"/>
        </w:rPr>
        <w:t>.1. Процедура за уведомяване на неуспелите кандидати:</w:t>
      </w:r>
      <w:bookmarkEnd w:id="96"/>
      <w:r w:rsidRPr="003474BD">
        <w:rPr>
          <w:rFonts w:ascii="Times New Roman" w:hAnsi="Times New Roman"/>
          <w:sz w:val="24"/>
          <w:szCs w:val="24"/>
        </w:rPr>
        <w:t xml:space="preserve"> </w:t>
      </w:r>
      <w:bookmarkEnd w:id="97"/>
    </w:p>
    <w:p w14:paraId="18E2943E"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В 10-дневен срок от одобряване на оценителния доклад</w:t>
      </w:r>
      <w:r w:rsidRPr="003474BD" w:rsidDel="00947474">
        <w:rPr>
          <w:color w:val="000000" w:themeColor="text1"/>
        </w:rPr>
        <w:t xml:space="preserve"> </w:t>
      </w:r>
      <w:r w:rsidRPr="003474BD">
        <w:rPr>
          <w:color w:val="000000" w:themeColor="text1"/>
        </w:rPr>
        <w:t>ръководителят на СНД издава мотивирано решение, с което отказва предоставянето на средства на кандидатите, включени в Списъка на предложените за отхвърляне предложения, които не се допускат до техническа и финансова оценка и които не са подали възражение и кандидатите, включени в Списъка на предложения, отхвърлени на техническа и финансова оценка, включително при невъзможност да бъде извършена корекция на основание чл. 16, ал. 8 във връзка с чл. 16, ал. 9 на ПМС 114/2022 г.</w:t>
      </w:r>
    </w:p>
    <w:p w14:paraId="475DCBBD"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lastRenderedPageBreak/>
        <w:t xml:space="preserve">Решенията са индивидуални административни актове, които се публикуват на интернет страницата на СНД (при съобразяване с изискванията на Закона за защита на личните данни) и се съобщават на кандидатите чрез ИСМ-ИСУН 2020, раздел НПВУ. </w:t>
      </w:r>
    </w:p>
    <w:p w14:paraId="745DFADB" w14:textId="77777777" w:rsidR="003F1496" w:rsidRPr="003474BD" w:rsidRDefault="003F1496" w:rsidP="00A42091">
      <w:pPr>
        <w:suppressAutoHyphens/>
        <w:spacing w:before="120" w:after="120" w:line="312" w:lineRule="auto"/>
        <w:jc w:val="both"/>
        <w:rPr>
          <w:color w:val="000000" w:themeColor="text1"/>
        </w:rPr>
      </w:pPr>
      <w:r w:rsidRPr="003474BD">
        <w:rPr>
          <w:color w:val="000000" w:themeColor="text1"/>
        </w:rPr>
        <w:t xml:space="preserve">Решенията подлежат на обжалване по реда на АПК. </w:t>
      </w:r>
    </w:p>
    <w:p w14:paraId="546DA4A9" w14:textId="4A05A86A" w:rsidR="003F1496" w:rsidRPr="003474BD" w:rsidRDefault="003F1496" w:rsidP="00A42091">
      <w:pPr>
        <w:pStyle w:val="Heading3"/>
        <w:suppressAutoHyphens/>
        <w:spacing w:before="120" w:after="120" w:line="312" w:lineRule="auto"/>
        <w:rPr>
          <w:rFonts w:ascii="Times New Roman" w:hAnsi="Times New Roman"/>
          <w:sz w:val="24"/>
          <w:szCs w:val="24"/>
        </w:rPr>
      </w:pPr>
      <w:bookmarkStart w:id="98" w:name="_Toc166258063"/>
      <w:r w:rsidRPr="003474BD">
        <w:rPr>
          <w:rFonts w:ascii="Times New Roman" w:hAnsi="Times New Roman"/>
          <w:sz w:val="24"/>
          <w:szCs w:val="24"/>
        </w:rPr>
        <w:t>2</w:t>
      </w:r>
      <w:r w:rsidR="009E1720" w:rsidRPr="003474BD">
        <w:rPr>
          <w:rFonts w:ascii="Times New Roman" w:hAnsi="Times New Roman"/>
          <w:sz w:val="24"/>
          <w:szCs w:val="24"/>
        </w:rPr>
        <w:t>3</w:t>
      </w:r>
      <w:r w:rsidRPr="003474BD">
        <w:rPr>
          <w:rFonts w:ascii="Times New Roman" w:hAnsi="Times New Roman"/>
          <w:sz w:val="24"/>
          <w:szCs w:val="24"/>
        </w:rPr>
        <w:t>.2. Процедура за сключване на договори за финансиране с крайните получатели и издаване на откази за предоставяне на средства</w:t>
      </w:r>
      <w:bookmarkEnd w:id="98"/>
    </w:p>
    <w:p w14:paraId="319D7420" w14:textId="77777777" w:rsidR="00153B53" w:rsidRPr="003474BD" w:rsidRDefault="00153B53" w:rsidP="00153B53">
      <w:pPr>
        <w:spacing w:before="120" w:after="120" w:line="312" w:lineRule="auto"/>
        <w:jc w:val="both"/>
        <w:rPr>
          <w:b/>
          <w:bCs/>
        </w:rPr>
      </w:pPr>
      <w:r w:rsidRPr="003474BD">
        <w:rPr>
          <w:b/>
          <w:bCs/>
        </w:rPr>
        <w:t>Договор за финансиране с крайния получател</w:t>
      </w:r>
    </w:p>
    <w:p w14:paraId="19463ECC" w14:textId="77777777" w:rsidR="00F9043E" w:rsidRPr="003474BD" w:rsidRDefault="00153B53" w:rsidP="00153B53">
      <w:pPr>
        <w:spacing w:before="120" w:after="120" w:line="312" w:lineRule="auto"/>
        <w:jc w:val="both"/>
      </w:pPr>
      <w:r w:rsidRPr="003474BD">
        <w:t xml:space="preserve">В срок до 15 работни дни от влизането в сила на решението за предоставяне на средства от НПВУ ръководителят на СНД сключва договор за финансиране с крайния получател. </w:t>
      </w:r>
    </w:p>
    <w:p w14:paraId="36E3E091" w14:textId="77777777" w:rsidR="00F9043E" w:rsidRPr="003474BD" w:rsidRDefault="00F9043E" w:rsidP="00F9043E">
      <w:pPr>
        <w:pBdr>
          <w:top w:val="double" w:sz="4" w:space="1" w:color="538135"/>
          <w:left w:val="double" w:sz="4" w:space="4" w:color="538135"/>
          <w:bottom w:val="double" w:sz="4" w:space="1" w:color="538135"/>
          <w:right w:val="double" w:sz="4" w:space="4" w:color="538135"/>
        </w:pBdr>
        <w:suppressAutoHyphens/>
        <w:spacing w:before="120" w:after="120" w:line="312" w:lineRule="auto"/>
        <w:jc w:val="both"/>
        <w:rPr>
          <w:color w:val="000000" w:themeColor="text1"/>
        </w:rPr>
      </w:pPr>
      <w:r w:rsidRPr="003474BD">
        <w:rPr>
          <w:b/>
          <w:color w:val="000000" w:themeColor="text1"/>
        </w:rPr>
        <w:t>ВАЖНО</w:t>
      </w:r>
      <w:r w:rsidRPr="00196A62">
        <w:rPr>
          <w:b/>
          <w:color w:val="000000" w:themeColor="text1"/>
        </w:rPr>
        <w:t xml:space="preserve">: </w:t>
      </w:r>
      <w:r w:rsidRPr="00C3025C">
        <w:rPr>
          <w:b/>
          <w:bCs/>
        </w:rPr>
        <w:t>Договорите за финансиране по настоящата процедура</w:t>
      </w:r>
      <w:r w:rsidRPr="00C3025C">
        <w:t xml:space="preserve"> </w:t>
      </w:r>
      <w:r w:rsidRPr="00C3025C">
        <w:rPr>
          <w:b/>
          <w:bCs/>
        </w:rPr>
        <w:t>влизат в сила след получено одобрение за допустима държавна помощ, с посочване на акта на Европейския съюз, съгласно който се одобрява помощта</w:t>
      </w:r>
      <w:r w:rsidRPr="00196A62">
        <w:t>.</w:t>
      </w:r>
    </w:p>
    <w:p w14:paraId="007CB17E" w14:textId="1E435CA7" w:rsidR="00153B53" w:rsidRPr="003474BD" w:rsidRDefault="00153B53" w:rsidP="00153B53">
      <w:pPr>
        <w:spacing w:before="120" w:after="120" w:line="312" w:lineRule="auto"/>
        <w:jc w:val="both"/>
      </w:pPr>
      <w:r w:rsidRPr="003474BD">
        <w:t>Договорът задължително включва:</w:t>
      </w:r>
    </w:p>
    <w:p w14:paraId="4AB1D549" w14:textId="77777777" w:rsidR="00153B53" w:rsidRPr="003474BD" w:rsidRDefault="00153B53" w:rsidP="00153B53">
      <w:pPr>
        <w:spacing w:before="120" w:after="120" w:line="312" w:lineRule="auto"/>
        <w:jc w:val="both"/>
      </w:pPr>
      <w:r w:rsidRPr="003474BD">
        <w:t>1. наименование и седалище на адресата - краен получател на средствата;</w:t>
      </w:r>
    </w:p>
    <w:p w14:paraId="2350394C" w14:textId="77777777" w:rsidR="00153B53" w:rsidRPr="003474BD" w:rsidRDefault="00153B53" w:rsidP="00153B53">
      <w:pPr>
        <w:spacing w:before="120" w:after="120" w:line="312" w:lineRule="auto"/>
        <w:jc w:val="both"/>
      </w:pPr>
      <w:r w:rsidRPr="003474BD">
        <w:t>2. точен адрес на обекта, попадащ в урбанизирани територии, където ще се изгражда комбинирания проект;</w:t>
      </w:r>
    </w:p>
    <w:p w14:paraId="57B2ED81" w14:textId="77777777" w:rsidR="00153B53" w:rsidRPr="003474BD" w:rsidRDefault="00153B53" w:rsidP="00153B53">
      <w:pPr>
        <w:spacing w:before="120" w:after="120" w:line="312" w:lineRule="auto"/>
        <w:jc w:val="both"/>
      </w:pPr>
      <w:r w:rsidRPr="003474BD">
        <w:t>3. наименование, стойност, основни дейности, индикатори, период и срокове за изпълнение на инвестицията, за която се предоставят средствата;</w:t>
      </w:r>
    </w:p>
    <w:p w14:paraId="064E3FFD" w14:textId="77777777" w:rsidR="00153B53" w:rsidRPr="003474BD" w:rsidRDefault="00153B53" w:rsidP="00153B53">
      <w:pPr>
        <w:spacing w:before="120" w:after="120" w:line="312" w:lineRule="auto"/>
        <w:jc w:val="both"/>
      </w:pPr>
      <w:r w:rsidRPr="003474BD">
        <w:t>4. максимален размер на средствата по инвестицията, по която те се предоставят;</w:t>
      </w:r>
    </w:p>
    <w:p w14:paraId="02F98363" w14:textId="77777777" w:rsidR="00153B53" w:rsidRPr="003474BD" w:rsidRDefault="00153B53" w:rsidP="00153B53">
      <w:pPr>
        <w:spacing w:before="120" w:after="120" w:line="312" w:lineRule="auto"/>
        <w:jc w:val="both"/>
      </w:pPr>
      <w:r w:rsidRPr="003474BD">
        <w:t>5. конкретизация на условията за изпълнение на инвестицията;</w:t>
      </w:r>
    </w:p>
    <w:p w14:paraId="39322277" w14:textId="77777777" w:rsidR="00153B53" w:rsidRPr="003474BD" w:rsidRDefault="00153B53" w:rsidP="00153B53">
      <w:pPr>
        <w:spacing w:before="120" w:after="120" w:line="312" w:lineRule="auto"/>
        <w:jc w:val="both"/>
      </w:pPr>
      <w:r w:rsidRPr="003474BD">
        <w:t>6. етапи и цели;</w:t>
      </w:r>
    </w:p>
    <w:p w14:paraId="5360FD3B" w14:textId="77777777" w:rsidR="00153B53" w:rsidRPr="003474BD" w:rsidRDefault="00153B53" w:rsidP="00153B53">
      <w:pPr>
        <w:spacing w:before="120" w:after="120" w:line="312" w:lineRule="auto"/>
        <w:jc w:val="both"/>
      </w:pPr>
      <w:r w:rsidRPr="003474BD">
        <w:t>7. информация, че средствата имат характер на допустима държавна помощ, с посочване на акта на Европейския съюз, съгласно който се предоставя или одобрява.</w:t>
      </w:r>
    </w:p>
    <w:p w14:paraId="4ADFB4A6" w14:textId="77777777" w:rsidR="00153B53" w:rsidRPr="003474BD" w:rsidRDefault="00153B53" w:rsidP="00153B53">
      <w:pPr>
        <w:spacing w:before="120" w:after="120" w:line="312" w:lineRule="auto"/>
        <w:jc w:val="both"/>
      </w:pPr>
      <w:r w:rsidRPr="003474BD">
        <w:t>Одобреното предложение за изпълнение на инвестиция и настоящите Условия за кандидатстване в частта, определяща условията за изпълнение, са неразделна част от договора.</w:t>
      </w:r>
    </w:p>
    <w:p w14:paraId="03221395" w14:textId="77777777" w:rsidR="00153B53" w:rsidRPr="003474BD" w:rsidRDefault="00153B53" w:rsidP="00153B53">
      <w:pPr>
        <w:spacing w:before="120" w:after="120" w:line="312" w:lineRule="auto"/>
        <w:jc w:val="both"/>
      </w:pPr>
      <w:r w:rsidRPr="003474BD">
        <w:t>Сключеният договор за финансиране, съответно заповедта, включително одобрената инвестиция, може да бъде изменян и/или допълван в случаите и по реда, посочени в чл. 28 от ПМС № 114/08.06.2022 г.</w:t>
      </w:r>
    </w:p>
    <w:p w14:paraId="4D55F559" w14:textId="77777777" w:rsidR="00153B53" w:rsidRPr="003474BD" w:rsidRDefault="00153B53" w:rsidP="00153B53">
      <w:pPr>
        <w:spacing w:before="120" w:after="120" w:line="312" w:lineRule="auto"/>
        <w:jc w:val="both"/>
        <w:rPr>
          <w:color w:val="000000" w:themeColor="text1"/>
        </w:rPr>
      </w:pPr>
      <w:r w:rsidRPr="003474BD">
        <w:rPr>
          <w:color w:val="000000" w:themeColor="text1"/>
        </w:rPr>
        <w:t xml:space="preserve">Процедурата по проверка на документалната допустимост на кандидатите ще се извършва изцяло в електронна среда чрез системата ИСМ-ИСУН 2020, раздел НПВУ, поради </w:t>
      </w:r>
      <w:r w:rsidRPr="003474BD">
        <w:rPr>
          <w:color w:val="000000" w:themeColor="text1"/>
        </w:rPr>
        <w:lastRenderedPageBreak/>
        <w:t xml:space="preserve">което комуникацията между СНД и кандидатите ще се води единствено през нея. Чрез ИСМ-ИСУН 2020, раздел НПВУ до всеки одобрен за финансиране кандидат се изпраща електронно уведомление (покана по чл. 19 от ПМС 114/2022г.) за представяне на конкретни изброени доказателства за доказване на съответствието му с изискванията за краен получател. Поканите, с които се изисква представянето на доказателства за съответствие с изискванията за краен получател са електронни документи с електронен подпис на ръководителя на СНД/оправомощено от него лице и се изпращат чрез системата ИСМ-ИСУН 2020, раздел НПВУ. </w:t>
      </w:r>
    </w:p>
    <w:p w14:paraId="75B23657" w14:textId="77777777" w:rsidR="00153B53" w:rsidRPr="003474BD" w:rsidRDefault="00153B53" w:rsidP="00153B53">
      <w:pPr>
        <w:spacing w:before="120" w:after="120" w:line="312" w:lineRule="auto"/>
        <w:jc w:val="both"/>
        <w:rPr>
          <w:color w:val="000000" w:themeColor="text1"/>
        </w:rPr>
      </w:pPr>
      <w:r w:rsidRPr="003474BD">
        <w:rPr>
          <w:color w:val="000000" w:themeColor="text1"/>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ИСМ-ИСУН 2020, раздел НПВУ.</w:t>
      </w:r>
    </w:p>
    <w:p w14:paraId="50DBA4BC" w14:textId="140B96E2" w:rsidR="00153B53" w:rsidRPr="003474BD" w:rsidRDefault="00153B53" w:rsidP="00153B53">
      <w:pPr>
        <w:pBdr>
          <w:top w:val="double" w:sz="4" w:space="1" w:color="538135"/>
          <w:left w:val="double" w:sz="4" w:space="4" w:color="538135"/>
          <w:bottom w:val="double" w:sz="4" w:space="1" w:color="538135"/>
          <w:right w:val="double" w:sz="4" w:space="4" w:color="538135"/>
        </w:pBdr>
        <w:spacing w:before="120" w:after="120" w:line="312" w:lineRule="auto"/>
        <w:jc w:val="both"/>
        <w:rPr>
          <w:bCs/>
          <w:color w:val="000000" w:themeColor="text1"/>
        </w:rPr>
      </w:pPr>
      <w:r w:rsidRPr="003474BD">
        <w:rPr>
          <w:b/>
          <w:bCs/>
          <w:color w:val="000000" w:themeColor="text1"/>
        </w:rPr>
        <w:t xml:space="preserve">ВАЖНО: </w:t>
      </w:r>
      <w:r w:rsidRPr="003474BD">
        <w:rPr>
          <w:bCs/>
          <w:color w:val="000000" w:themeColor="text1"/>
        </w:rPr>
        <w:t xml:space="preserve">Следва да се има предвид, че изискуемите при извършваната проверка декларации са частни документи, които следва да са издадени като електронни такива. В този смисъл те следва да са подписани с КЕП на задълженото лице – </w:t>
      </w:r>
      <w:r w:rsidR="00424862" w:rsidRPr="003474BD">
        <w:rPr>
          <w:bCs/>
          <w:color w:val="000000" w:themeColor="text1"/>
        </w:rPr>
        <w:t xml:space="preserve">законния </w:t>
      </w:r>
      <w:r w:rsidRPr="003474BD">
        <w:rPr>
          <w:bCs/>
          <w:color w:val="000000" w:themeColor="text1"/>
        </w:rPr>
        <w:t xml:space="preserve">представляващ на кандидата или </w:t>
      </w:r>
      <w:r w:rsidR="00424862" w:rsidRPr="003474BD">
        <w:rPr>
          <w:bCs/>
          <w:color w:val="000000" w:themeColor="text1"/>
        </w:rPr>
        <w:t xml:space="preserve">законните </w:t>
      </w:r>
      <w:r w:rsidRPr="003474BD">
        <w:rPr>
          <w:bCs/>
          <w:color w:val="000000" w:themeColor="text1"/>
        </w:rPr>
        <w:t>представляващи го (в случаите, когато се представлява само заедно) и за представянето им институтът на упълномощаването е неприложим.</w:t>
      </w:r>
    </w:p>
    <w:p w14:paraId="154BA754" w14:textId="77777777" w:rsidR="00153B53" w:rsidRPr="003474BD" w:rsidRDefault="00153B53" w:rsidP="00153B53">
      <w:pPr>
        <w:spacing w:before="120" w:after="120" w:line="312" w:lineRule="auto"/>
        <w:jc w:val="both"/>
        <w:rPr>
          <w:b/>
          <w:color w:val="000000" w:themeColor="text1"/>
        </w:rPr>
      </w:pPr>
      <w:r w:rsidRPr="003474BD">
        <w:rPr>
          <w:b/>
          <w:color w:val="000000" w:themeColor="text1"/>
        </w:rPr>
        <w:t>I. Списък на документите, които се подават на етап сключване на договори за финансиране с крайните получатели:</w:t>
      </w:r>
    </w:p>
    <w:p w14:paraId="125EEBA1" w14:textId="0533BD83" w:rsidR="00153B53" w:rsidRPr="003474BD" w:rsidRDefault="00153B53" w:rsidP="00153B53">
      <w:pPr>
        <w:spacing w:before="120" w:after="120" w:line="312" w:lineRule="auto"/>
        <w:jc w:val="both"/>
        <w:rPr>
          <w:bCs/>
          <w:color w:val="000000" w:themeColor="text1"/>
        </w:rPr>
      </w:pPr>
      <w:r w:rsidRPr="003474BD">
        <w:rPr>
          <w:b/>
          <w:color w:val="000000" w:themeColor="text1"/>
        </w:rPr>
        <w:t>1)</w:t>
      </w:r>
      <w:r w:rsidRPr="003474BD">
        <w:rPr>
          <w:bCs/>
          <w:color w:val="000000" w:themeColor="text1"/>
        </w:rPr>
        <w:t xml:space="preserve"> </w:t>
      </w:r>
      <w:bookmarkStart w:id="99" w:name="_Hlk169708310"/>
      <w:bookmarkStart w:id="100" w:name="_Hlk147264452"/>
      <w:r w:rsidRPr="003474BD">
        <w:rPr>
          <w:bCs/>
          <w:color w:val="000000" w:themeColor="text1"/>
        </w:rPr>
        <w:t xml:space="preserve">декларация за липса на промяна във вече декларирани обстоятелства и представени документи </w:t>
      </w:r>
      <w:bookmarkEnd w:id="99"/>
      <w:r w:rsidRPr="003474BD">
        <w:rPr>
          <w:bCs/>
          <w:color w:val="000000" w:themeColor="text1"/>
        </w:rPr>
        <w:t>(</w:t>
      </w:r>
      <w:r w:rsidRPr="00877235">
        <w:rPr>
          <w:bCs/>
          <w:color w:val="000000" w:themeColor="text1"/>
        </w:rPr>
        <w:t xml:space="preserve">Приложение </w:t>
      </w:r>
      <w:r w:rsidR="00877235" w:rsidRPr="00E57C4A">
        <w:rPr>
          <w:bCs/>
          <w:color w:val="000000" w:themeColor="text1"/>
        </w:rPr>
        <w:t>10</w:t>
      </w:r>
      <w:r w:rsidRPr="00877235">
        <w:rPr>
          <w:bCs/>
          <w:color w:val="000000" w:themeColor="text1"/>
        </w:rPr>
        <w:t>)</w:t>
      </w:r>
      <w:r w:rsidRPr="003474BD">
        <w:rPr>
          <w:bCs/>
          <w:color w:val="000000" w:themeColor="text1"/>
        </w:rPr>
        <w:t xml:space="preserve"> или нови </w:t>
      </w:r>
      <w:r w:rsidRPr="00877235">
        <w:rPr>
          <w:bCs/>
          <w:color w:val="000000" w:themeColor="text1"/>
        </w:rPr>
        <w:t xml:space="preserve">декларации </w:t>
      </w:r>
      <w:r w:rsidR="00877235" w:rsidRPr="00877235">
        <w:rPr>
          <w:bCs/>
          <w:color w:val="000000" w:themeColor="text1"/>
        </w:rPr>
        <w:t xml:space="preserve">за </w:t>
      </w:r>
      <w:r w:rsidR="00877235">
        <w:rPr>
          <w:bCs/>
          <w:color w:val="000000" w:themeColor="text1"/>
        </w:rPr>
        <w:t xml:space="preserve">настъпили промени във вече декларирани </w:t>
      </w:r>
      <w:r w:rsidR="00877235" w:rsidRPr="00877235">
        <w:rPr>
          <w:bCs/>
          <w:color w:val="000000" w:themeColor="text1"/>
        </w:rPr>
        <w:t xml:space="preserve">обстоятелствата </w:t>
      </w:r>
      <w:r w:rsidR="00877235">
        <w:rPr>
          <w:bCs/>
          <w:color w:val="000000" w:themeColor="text1"/>
        </w:rPr>
        <w:t>с изчерпателно изброяване на промените</w:t>
      </w:r>
      <w:r w:rsidRPr="00877235">
        <w:rPr>
          <w:bCs/>
          <w:color w:val="000000" w:themeColor="text1"/>
        </w:rPr>
        <w:t>. За формата и начина на подписване на декларациите</w:t>
      </w:r>
      <w:r w:rsidRPr="003474BD">
        <w:rPr>
          <w:bCs/>
          <w:color w:val="000000" w:themeColor="text1"/>
        </w:rPr>
        <w:t xml:space="preserve"> се прилагат изискваният по т. 2</w:t>
      </w:r>
      <w:r w:rsidR="00877235">
        <w:rPr>
          <w:bCs/>
          <w:color w:val="000000" w:themeColor="text1"/>
        </w:rPr>
        <w:t>0</w:t>
      </w:r>
    </w:p>
    <w:bookmarkEnd w:id="100"/>
    <w:p w14:paraId="5E82361C" w14:textId="69076B41" w:rsidR="00153B53" w:rsidRPr="003474BD" w:rsidRDefault="00153B53" w:rsidP="00153B53">
      <w:pPr>
        <w:spacing w:before="120" w:after="120" w:line="312" w:lineRule="auto"/>
        <w:jc w:val="both"/>
        <w:rPr>
          <w:b/>
          <w:color w:val="000000" w:themeColor="text1"/>
        </w:rPr>
      </w:pPr>
      <w:r w:rsidRPr="003474BD">
        <w:rPr>
          <w:b/>
          <w:color w:val="000000" w:themeColor="text1"/>
        </w:rPr>
        <w:t xml:space="preserve">2) </w:t>
      </w:r>
      <w:r w:rsidRPr="003474BD">
        <w:rPr>
          <w:bCs/>
          <w:color w:val="000000" w:themeColor="text1"/>
        </w:rPr>
        <w:t xml:space="preserve">Банкова гаранция за добро изпълнение – оригинал (по образец – Приложение </w:t>
      </w:r>
      <w:r w:rsidR="00877235" w:rsidRPr="00E57C4A">
        <w:rPr>
          <w:bCs/>
          <w:color w:val="000000" w:themeColor="text1"/>
        </w:rPr>
        <w:t>4</w:t>
      </w:r>
      <w:r w:rsidRPr="003474BD">
        <w:rPr>
          <w:bCs/>
          <w:color w:val="000000" w:themeColor="text1"/>
        </w:rPr>
        <w:t xml:space="preserve">) </w:t>
      </w:r>
    </w:p>
    <w:p w14:paraId="4462B9F8" w14:textId="77777777" w:rsidR="00153B53" w:rsidRPr="003474BD" w:rsidRDefault="00153B53" w:rsidP="00153B53">
      <w:pPr>
        <w:spacing w:before="120" w:after="120" w:line="312" w:lineRule="auto"/>
        <w:jc w:val="both"/>
        <w:rPr>
          <w:b/>
        </w:rPr>
      </w:pPr>
      <w:r w:rsidRPr="003474BD">
        <w:rPr>
          <w:b/>
        </w:rPr>
        <w:t>II. След сключване на договора за финансиране, крайният получател следва да представи:</w:t>
      </w:r>
    </w:p>
    <w:p w14:paraId="1A854B38" w14:textId="77777777" w:rsidR="00153B53" w:rsidRPr="0081051E" w:rsidRDefault="00153B53" w:rsidP="00153B53">
      <w:pPr>
        <w:spacing w:before="120" w:after="120" w:line="312" w:lineRule="auto"/>
        <w:jc w:val="both"/>
        <w:rPr>
          <w:bCs/>
        </w:rPr>
      </w:pPr>
      <w:r w:rsidRPr="0081051E">
        <w:rPr>
          <w:bCs/>
        </w:rPr>
        <w:t>Доказателства за изпълнение на следните етапи в предвидените срокове:</w:t>
      </w:r>
    </w:p>
    <w:p w14:paraId="06A35AF2" w14:textId="125A0E08" w:rsidR="00153B53" w:rsidRPr="00C3025C" w:rsidRDefault="00153B53" w:rsidP="00153B53">
      <w:pPr>
        <w:spacing w:before="120" w:after="120" w:line="312" w:lineRule="auto"/>
        <w:jc w:val="both"/>
        <w:rPr>
          <w:bCs/>
        </w:rPr>
      </w:pPr>
      <w:r w:rsidRPr="00C3025C">
        <w:rPr>
          <w:bCs/>
        </w:rPr>
        <w:t>- поръчан е подходящият(ите) трансформатор(и) за високо/средно напрежение: не по-късно от</w:t>
      </w:r>
      <w:r w:rsidR="005478EC" w:rsidRPr="00C3025C">
        <w:rPr>
          <w:bCs/>
        </w:rPr>
        <w:t xml:space="preserve"> 30</w:t>
      </w:r>
      <w:r w:rsidR="00877235">
        <w:rPr>
          <w:bCs/>
        </w:rPr>
        <w:t xml:space="preserve"> </w:t>
      </w:r>
      <w:r w:rsidR="005478EC" w:rsidRPr="00C3025C">
        <w:rPr>
          <w:bCs/>
        </w:rPr>
        <w:t xml:space="preserve">април </w:t>
      </w:r>
      <w:r w:rsidRPr="00C3025C">
        <w:rPr>
          <w:bCs/>
        </w:rPr>
        <w:t>2025 г.</w:t>
      </w:r>
    </w:p>
    <w:p w14:paraId="43E4A0D9" w14:textId="2E8F8982" w:rsidR="00153B53" w:rsidRPr="00C3025C" w:rsidRDefault="00153B53" w:rsidP="00153B53">
      <w:pPr>
        <w:spacing w:before="120" w:after="120" w:line="312" w:lineRule="auto"/>
        <w:jc w:val="both"/>
        <w:rPr>
          <w:bCs/>
        </w:rPr>
      </w:pPr>
      <w:r w:rsidRPr="00C3025C">
        <w:rPr>
          <w:bCs/>
        </w:rPr>
        <w:t xml:space="preserve">- всички разрешителни за строеж </w:t>
      </w:r>
      <w:r w:rsidR="001B3DE5" w:rsidRPr="00C3025C">
        <w:rPr>
          <w:bCs/>
        </w:rPr>
        <w:t>(инсталиране) на съоръжението за съхранение</w:t>
      </w:r>
      <w:r w:rsidRPr="00C3025C">
        <w:rPr>
          <w:bCs/>
        </w:rPr>
        <w:t xml:space="preserve">, както са посочени в предложението, са получени: не по-късно от 31 </w:t>
      </w:r>
      <w:r w:rsidR="005478EC" w:rsidRPr="00C3025C">
        <w:rPr>
          <w:bCs/>
        </w:rPr>
        <w:t>май</w:t>
      </w:r>
      <w:r w:rsidRPr="00C3025C">
        <w:rPr>
          <w:bCs/>
        </w:rPr>
        <w:t xml:space="preserve"> 2025 г.</w:t>
      </w:r>
    </w:p>
    <w:p w14:paraId="34FB81BE" w14:textId="539B10B3" w:rsidR="00153B53" w:rsidRPr="00C3025C" w:rsidRDefault="00153B53" w:rsidP="00153B53">
      <w:pPr>
        <w:spacing w:before="120" w:after="120" w:line="312" w:lineRule="auto"/>
        <w:jc w:val="both"/>
        <w:rPr>
          <w:bCs/>
        </w:rPr>
      </w:pPr>
      <w:r w:rsidRPr="00C3025C">
        <w:rPr>
          <w:bCs/>
        </w:rPr>
        <w:t>- подписан е договор за строителство</w:t>
      </w:r>
      <w:r w:rsidR="001B3DE5" w:rsidRPr="00C3025C">
        <w:rPr>
          <w:bCs/>
        </w:rPr>
        <w:t xml:space="preserve"> (инсталиране)</w:t>
      </w:r>
      <w:r w:rsidRPr="00C3025C">
        <w:rPr>
          <w:bCs/>
        </w:rPr>
        <w:t xml:space="preserve"> </w:t>
      </w:r>
      <w:r w:rsidR="001B3DE5" w:rsidRPr="00C3025C">
        <w:rPr>
          <w:bCs/>
        </w:rPr>
        <w:t xml:space="preserve">на съоръжението за съхранение </w:t>
      </w:r>
      <w:r w:rsidRPr="00C3025C">
        <w:rPr>
          <w:bCs/>
        </w:rPr>
        <w:t xml:space="preserve">и </w:t>
      </w:r>
      <w:r w:rsidR="001B3DE5" w:rsidRPr="00C3025C">
        <w:rPr>
          <w:bCs/>
        </w:rPr>
        <w:t>работите по него</w:t>
      </w:r>
      <w:r w:rsidRPr="00C3025C">
        <w:rPr>
          <w:bCs/>
        </w:rPr>
        <w:t xml:space="preserve"> </w:t>
      </w:r>
      <w:r w:rsidR="001B3DE5" w:rsidRPr="00C3025C">
        <w:rPr>
          <w:bCs/>
        </w:rPr>
        <w:t xml:space="preserve">са </w:t>
      </w:r>
      <w:r w:rsidRPr="00C3025C">
        <w:rPr>
          <w:bCs/>
        </w:rPr>
        <w:t>започнал</w:t>
      </w:r>
      <w:r w:rsidR="001B3DE5" w:rsidRPr="00C3025C">
        <w:rPr>
          <w:bCs/>
        </w:rPr>
        <w:t>и</w:t>
      </w:r>
      <w:r w:rsidRPr="00C3025C">
        <w:rPr>
          <w:bCs/>
        </w:rPr>
        <w:t xml:space="preserve">: не по-късно от 30 </w:t>
      </w:r>
      <w:r w:rsidR="005478EC" w:rsidRPr="00C3025C">
        <w:rPr>
          <w:bCs/>
        </w:rPr>
        <w:t>юни</w:t>
      </w:r>
      <w:r w:rsidRPr="00C3025C">
        <w:rPr>
          <w:bCs/>
        </w:rPr>
        <w:t xml:space="preserve"> 2025 г.;</w:t>
      </w:r>
    </w:p>
    <w:p w14:paraId="2FAD38DB" w14:textId="430134C3" w:rsidR="00153B53" w:rsidRPr="003474BD" w:rsidRDefault="00153B53" w:rsidP="00153B53">
      <w:pPr>
        <w:spacing w:before="120" w:after="120" w:line="312" w:lineRule="auto"/>
        <w:jc w:val="both"/>
        <w:rPr>
          <w:bCs/>
        </w:rPr>
      </w:pPr>
      <w:r w:rsidRPr="00C3025C">
        <w:rPr>
          <w:bCs/>
        </w:rPr>
        <w:lastRenderedPageBreak/>
        <w:t xml:space="preserve">- осигурено е финансиране за реализиране на </w:t>
      </w:r>
      <w:r w:rsidR="00205B76" w:rsidRPr="00C3025C">
        <w:rPr>
          <w:bCs/>
        </w:rPr>
        <w:t xml:space="preserve">предложението за изпълнение на инвестиция на кандидата по настоящата процедура </w:t>
      </w:r>
      <w:r w:rsidRPr="00C3025C">
        <w:rPr>
          <w:bCs/>
        </w:rPr>
        <w:t xml:space="preserve">не по-късно от 30 </w:t>
      </w:r>
      <w:r w:rsidR="005478EC" w:rsidRPr="00C3025C">
        <w:rPr>
          <w:bCs/>
        </w:rPr>
        <w:t>юни</w:t>
      </w:r>
      <w:r w:rsidRPr="00C3025C">
        <w:rPr>
          <w:bCs/>
        </w:rPr>
        <w:t xml:space="preserve"> 2025 г.</w:t>
      </w:r>
    </w:p>
    <w:p w14:paraId="236AF371" w14:textId="77777777" w:rsidR="00153B53" w:rsidRPr="003474BD" w:rsidRDefault="00153B53" w:rsidP="00153B53">
      <w:pPr>
        <w:spacing w:before="120" w:after="120" w:line="312" w:lineRule="auto"/>
        <w:jc w:val="both"/>
        <w:rPr>
          <w:bCs/>
        </w:rPr>
      </w:pPr>
      <w:r w:rsidRPr="003474BD">
        <w:rPr>
          <w:bCs/>
        </w:rPr>
        <w:t>Преди изплащането на средствата по договора за финансирането, крайния получател трябва да осигури представянето на следните документи:</w:t>
      </w:r>
    </w:p>
    <w:p w14:paraId="747C2120" w14:textId="39DC57E3" w:rsidR="00473456" w:rsidRPr="003474BD" w:rsidRDefault="00473456" w:rsidP="00153B53">
      <w:pPr>
        <w:spacing w:before="120" w:after="120" w:line="312" w:lineRule="auto"/>
        <w:jc w:val="both"/>
        <w:rPr>
          <w:bCs/>
        </w:rPr>
      </w:pPr>
      <w:r w:rsidRPr="003474BD">
        <w:rPr>
          <w:bCs/>
        </w:rPr>
        <w:t xml:space="preserve">- влязло в сила </w:t>
      </w:r>
      <w:r w:rsidRPr="005478EC">
        <w:rPr>
          <w:bCs/>
        </w:rPr>
        <w:t>разрешение за ползване за съоръжението</w:t>
      </w:r>
      <w:r w:rsidRPr="003474BD">
        <w:rPr>
          <w:bCs/>
        </w:rPr>
        <w:t xml:space="preserve"> за съхранение на електрическа енергия , издадено от органите на Дирекцията за национален строителен контрол;</w:t>
      </w:r>
    </w:p>
    <w:p w14:paraId="2CF90CEC" w14:textId="45A91BDC" w:rsidR="00424862" w:rsidRPr="003474BD" w:rsidRDefault="00424862" w:rsidP="00153B53">
      <w:pPr>
        <w:spacing w:before="120" w:after="120" w:line="312" w:lineRule="auto"/>
        <w:jc w:val="both"/>
        <w:rPr>
          <w:bCs/>
        </w:rPr>
      </w:pPr>
      <w:r w:rsidRPr="003474BD">
        <w:rPr>
          <w:bCs/>
        </w:rPr>
        <w:t xml:space="preserve">- </w:t>
      </w:r>
      <w:r w:rsidR="008B0907" w:rsidRPr="008B0907">
        <w:rPr>
          <w:bCs/>
        </w:rPr>
        <w:t xml:space="preserve">копие от </w:t>
      </w:r>
      <w:r w:rsidR="009D2940" w:rsidRPr="003474BD">
        <w:rPr>
          <w:color w:val="000000" w:themeColor="text1"/>
        </w:rPr>
        <w:t>протокол за преминали тестове за доказване на параметри за осигуряване на резерви</w:t>
      </w:r>
      <w:r w:rsidRPr="003474BD">
        <w:rPr>
          <w:color w:val="000000" w:themeColor="text1"/>
        </w:rPr>
        <w:t>;</w:t>
      </w:r>
    </w:p>
    <w:p w14:paraId="37446D56" w14:textId="1AE5F9E2" w:rsidR="00473456" w:rsidRPr="003474BD" w:rsidRDefault="00473456" w:rsidP="00153B53">
      <w:pPr>
        <w:spacing w:before="120" w:after="120" w:line="312" w:lineRule="auto"/>
        <w:jc w:val="both"/>
        <w:rPr>
          <w:bCs/>
        </w:rPr>
      </w:pPr>
      <w:r w:rsidRPr="003474BD">
        <w:rPr>
          <w:bCs/>
        </w:rPr>
        <w:t xml:space="preserve">- </w:t>
      </w:r>
      <w:r w:rsidR="00393EE3">
        <w:rPr>
          <w:bCs/>
        </w:rPr>
        <w:t xml:space="preserve">действащ </w:t>
      </w:r>
      <w:r w:rsidRPr="003474BD">
        <w:rPr>
          <w:bCs/>
        </w:rPr>
        <w:t>договор за достъп и пренос на електрическа енергия с</w:t>
      </w:r>
      <w:r w:rsidR="000E3024" w:rsidRPr="003474BD">
        <w:rPr>
          <w:bCs/>
        </w:rPr>
        <w:t xml:space="preserve"> ЕСО</w:t>
      </w:r>
      <w:r w:rsidRPr="003474BD">
        <w:rPr>
          <w:bCs/>
        </w:rPr>
        <w:t>;</w:t>
      </w:r>
    </w:p>
    <w:p w14:paraId="362E374F" w14:textId="6FC26C12" w:rsidR="00153B53" w:rsidRPr="003474BD" w:rsidRDefault="00153B53" w:rsidP="00153B53">
      <w:pPr>
        <w:spacing w:before="120" w:after="120" w:line="312" w:lineRule="auto"/>
        <w:jc w:val="both"/>
        <w:rPr>
          <w:bCs/>
          <w:highlight w:val="yellow"/>
        </w:rPr>
      </w:pPr>
      <w:r w:rsidRPr="00C3025C">
        <w:rPr>
          <w:bCs/>
        </w:rPr>
        <w:t xml:space="preserve">- съответствие на софтуера/хардуера </w:t>
      </w:r>
      <w:r w:rsidR="009B012D">
        <w:rPr>
          <w:bCs/>
        </w:rPr>
        <w:t xml:space="preserve">на съоръжението за съхранение </w:t>
      </w:r>
      <w:r w:rsidRPr="00C3025C">
        <w:rPr>
          <w:bCs/>
        </w:rPr>
        <w:t>с ISO 27001</w:t>
      </w:r>
      <w:r w:rsidR="009A4C07" w:rsidRPr="00C3025C">
        <w:rPr>
          <w:bCs/>
        </w:rPr>
        <w:t xml:space="preserve"> </w:t>
      </w:r>
      <w:r w:rsidR="00355077">
        <w:rPr>
          <w:bCs/>
        </w:rPr>
        <w:t xml:space="preserve">, валиден към датата на изплащане на </w:t>
      </w:r>
      <w:r w:rsidR="00355077" w:rsidRPr="003474BD">
        <w:rPr>
          <w:bCs/>
        </w:rPr>
        <w:t>средствата по договора за финансирането</w:t>
      </w:r>
      <w:r w:rsidR="00355077">
        <w:rPr>
          <w:bCs/>
        </w:rPr>
        <w:t xml:space="preserve"> </w:t>
      </w:r>
      <w:r w:rsidR="009A4C07" w:rsidRPr="00C3025C">
        <w:rPr>
          <w:bCs/>
        </w:rPr>
        <w:t>;</w:t>
      </w:r>
    </w:p>
    <w:p w14:paraId="260CA612" w14:textId="78C08C5A" w:rsidR="00153B53" w:rsidRPr="00C3025C" w:rsidRDefault="00153B53" w:rsidP="00153B53">
      <w:pPr>
        <w:spacing w:before="120" w:after="120" w:line="312" w:lineRule="auto"/>
        <w:jc w:val="both"/>
        <w:rPr>
          <w:bCs/>
        </w:rPr>
      </w:pPr>
      <w:r w:rsidRPr="00C3025C">
        <w:rPr>
          <w:bCs/>
        </w:rPr>
        <w:t>- сертификат по ISO 45001</w:t>
      </w:r>
      <w:r w:rsidRPr="00C3025C">
        <w:t xml:space="preserve"> - </w:t>
      </w:r>
      <w:r w:rsidRPr="00C3025C">
        <w:rPr>
          <w:bCs/>
        </w:rPr>
        <w:t>издаден на името на</w:t>
      </w:r>
      <w:r w:rsidR="009B012D" w:rsidRPr="00C3025C">
        <w:rPr>
          <w:bCs/>
        </w:rPr>
        <w:t>: (а) </w:t>
      </w:r>
      <w:r w:rsidRPr="00C3025C">
        <w:rPr>
          <w:bCs/>
        </w:rPr>
        <w:t>изпълнителя на строителството</w:t>
      </w:r>
      <w:r w:rsidR="003516C4" w:rsidRPr="00C3025C">
        <w:rPr>
          <w:bCs/>
        </w:rPr>
        <w:t xml:space="preserve"> (валиден за целия период от започване до завършване на строежа)</w:t>
      </w:r>
      <w:r w:rsidR="009B012D" w:rsidRPr="00C3025C">
        <w:rPr>
          <w:bCs/>
        </w:rPr>
        <w:t>; (б) </w:t>
      </w:r>
      <w:r w:rsidR="00424862" w:rsidRPr="00C3025C">
        <w:rPr>
          <w:bCs/>
        </w:rPr>
        <w:t>производителя на основните компоненти</w:t>
      </w:r>
      <w:r w:rsidRPr="00C3025C">
        <w:rPr>
          <w:bCs/>
        </w:rPr>
        <w:t xml:space="preserve"> на </w:t>
      </w:r>
      <w:r w:rsidR="001D28DD" w:rsidRPr="00C3025C">
        <w:rPr>
          <w:bCs/>
        </w:rPr>
        <w:t>съоръжението за съхранение</w:t>
      </w:r>
      <w:r w:rsidR="00DD5248" w:rsidRPr="00C3025C">
        <w:rPr>
          <w:bCs/>
        </w:rPr>
        <w:t xml:space="preserve"> (валиден за периода от датата на поръчка до датата на доставка на съответните компоненти)</w:t>
      </w:r>
      <w:r w:rsidR="009B012D" w:rsidRPr="00C3025C">
        <w:rPr>
          <w:bCs/>
        </w:rPr>
        <w:t xml:space="preserve">; и (в) крайния получател, </w:t>
      </w:r>
      <w:r w:rsidR="004C739A">
        <w:rPr>
          <w:bCs/>
        </w:rPr>
        <w:t xml:space="preserve">който </w:t>
      </w:r>
      <w:r w:rsidR="009B012D" w:rsidRPr="00355077">
        <w:rPr>
          <w:bCs/>
        </w:rPr>
        <w:t xml:space="preserve">следва да го получи и представи </w:t>
      </w:r>
      <w:r w:rsidR="00146DCB" w:rsidRPr="00355077">
        <w:rPr>
          <w:bCs/>
        </w:rPr>
        <w:t xml:space="preserve">в срок </w:t>
      </w:r>
      <w:r w:rsidR="009B012D" w:rsidRPr="00355077">
        <w:rPr>
          <w:bCs/>
        </w:rPr>
        <w:t>до 30 май 2026 г. или до 31 декември 2027 г., като в последния случай валидността на банковата гаранция за добро изпълнение следва да бъде удължена, за да покрие този допълнителен период</w:t>
      </w:r>
      <w:r w:rsidRPr="00C3025C">
        <w:rPr>
          <w:bCs/>
        </w:rPr>
        <w:t>;</w:t>
      </w:r>
    </w:p>
    <w:p w14:paraId="5ACD02BD" w14:textId="62144B7F" w:rsidR="009B012D" w:rsidRPr="00355077" w:rsidRDefault="00153B53" w:rsidP="00153B53">
      <w:pPr>
        <w:spacing w:before="120" w:after="120" w:line="312" w:lineRule="auto"/>
        <w:jc w:val="both"/>
        <w:rPr>
          <w:bCs/>
        </w:rPr>
      </w:pPr>
      <w:r w:rsidRPr="00C3025C">
        <w:rPr>
          <w:bCs/>
        </w:rPr>
        <w:t xml:space="preserve">- сертификат по ISO 9001 - </w:t>
      </w:r>
      <w:r w:rsidR="003D5309" w:rsidRPr="00C3025C">
        <w:rPr>
          <w:bCs/>
        </w:rPr>
        <w:t>издаден на името на: (а) изпълнителя на строителството</w:t>
      </w:r>
      <w:r w:rsidR="00DD5248" w:rsidRPr="00C3025C">
        <w:rPr>
          <w:bCs/>
        </w:rPr>
        <w:t xml:space="preserve"> (валиден за целия период от започване до завършване на строежа)</w:t>
      </w:r>
      <w:r w:rsidR="003D5309" w:rsidRPr="00C3025C">
        <w:rPr>
          <w:bCs/>
        </w:rPr>
        <w:t>; (б) производителя на основните компоненти на съоръжението за съхранение</w:t>
      </w:r>
      <w:r w:rsidR="00146DCB" w:rsidRPr="00C3025C">
        <w:rPr>
          <w:bCs/>
        </w:rPr>
        <w:t xml:space="preserve"> (валиден за периода от датата на поръчка до датата на доставка на съответните компоненти); и (в) крайния получател, </w:t>
      </w:r>
      <w:r w:rsidR="00146DCB" w:rsidRPr="00355077">
        <w:rPr>
          <w:bCs/>
        </w:rPr>
        <w:t xml:space="preserve"> </w:t>
      </w:r>
      <w:r w:rsidR="004C739A">
        <w:rPr>
          <w:bCs/>
        </w:rPr>
        <w:t xml:space="preserve">който </w:t>
      </w:r>
      <w:r w:rsidR="00146DCB" w:rsidRPr="00355077">
        <w:rPr>
          <w:bCs/>
        </w:rPr>
        <w:t>следва да го получи и представи в срок до 30 май 2026 г. или до 31 декември 2027 г., като в последния случай валидността на банковата гаранция за добро изпълнение следва да бъде удължена, за да покрие този допълнителен период</w:t>
      </w:r>
      <w:r w:rsidR="00146DCB" w:rsidRPr="00C3025C" w:rsidDel="003D5309">
        <w:rPr>
          <w:bCs/>
        </w:rPr>
        <w:t xml:space="preserve"> </w:t>
      </w:r>
      <w:r w:rsidRPr="00C3025C">
        <w:rPr>
          <w:bCs/>
        </w:rPr>
        <w:t>;</w:t>
      </w:r>
    </w:p>
    <w:p w14:paraId="6B6BA928" w14:textId="4C55BDF4" w:rsidR="009B012D" w:rsidRPr="00C3025C" w:rsidRDefault="009B012D" w:rsidP="00153B53">
      <w:pPr>
        <w:spacing w:before="120" w:after="120" w:line="312" w:lineRule="auto"/>
        <w:jc w:val="both"/>
        <w:rPr>
          <w:bCs/>
        </w:rPr>
      </w:pPr>
      <w:r w:rsidRPr="00355077">
        <w:rPr>
          <w:bCs/>
        </w:rPr>
        <w:t xml:space="preserve">- сертификат по ISO 14001 </w:t>
      </w:r>
      <w:r w:rsidR="00AA30AB" w:rsidRPr="00355077">
        <w:rPr>
          <w:bCs/>
        </w:rPr>
        <w:t>–</w:t>
      </w:r>
      <w:r w:rsidRPr="00355077">
        <w:rPr>
          <w:bCs/>
        </w:rPr>
        <w:t xml:space="preserve"> </w:t>
      </w:r>
      <w:r w:rsidR="003D5309" w:rsidRPr="00C3025C">
        <w:rPr>
          <w:bCs/>
        </w:rPr>
        <w:t>издаден на името на: (а) изпълнителя на строителството</w:t>
      </w:r>
      <w:r w:rsidR="00DD5248" w:rsidRPr="00C3025C">
        <w:rPr>
          <w:bCs/>
        </w:rPr>
        <w:t xml:space="preserve"> (валиден за целия период от започване до завършване на строежа)</w:t>
      </w:r>
      <w:r w:rsidR="003D5309" w:rsidRPr="00C3025C">
        <w:rPr>
          <w:bCs/>
        </w:rPr>
        <w:t>; (б) производителя на основните компоненти на съоръжението за съхранение</w:t>
      </w:r>
      <w:r w:rsidR="00146DCB" w:rsidRPr="00C3025C">
        <w:rPr>
          <w:bCs/>
        </w:rPr>
        <w:t xml:space="preserve">(валиден за периода от датата на поръчка до датата на доставка на съответните компоненти); и (в) крайния получател, </w:t>
      </w:r>
      <w:r w:rsidR="007A6732">
        <w:rPr>
          <w:bCs/>
        </w:rPr>
        <w:t>който</w:t>
      </w:r>
      <w:r w:rsidR="00146DCB" w:rsidRPr="00355077">
        <w:rPr>
          <w:bCs/>
        </w:rPr>
        <w:t xml:space="preserve"> следва да го получи и представи в срок до 30 май 2026 г. или до 31 декември 2027 г., като в последния случай валидността на банковата гаранция за добро изпълнение следва да бъде удължена, за да покрие този допълнителен период</w:t>
      </w:r>
      <w:r w:rsidR="003D5309" w:rsidRPr="00355077">
        <w:rPr>
          <w:bCs/>
        </w:rPr>
        <w:t>;</w:t>
      </w:r>
    </w:p>
    <w:p w14:paraId="4C4DEC35" w14:textId="6679381F" w:rsidR="00153B53" w:rsidRPr="00E57C4A" w:rsidRDefault="00153B53" w:rsidP="00153B53">
      <w:pPr>
        <w:spacing w:before="120" w:after="120" w:line="312" w:lineRule="auto"/>
        <w:jc w:val="both"/>
        <w:rPr>
          <w:bCs/>
        </w:rPr>
      </w:pPr>
      <w:r w:rsidRPr="00E57C4A">
        <w:rPr>
          <w:bCs/>
        </w:rPr>
        <w:lastRenderedPageBreak/>
        <w:t xml:space="preserve">- застраховка на имуществото (за покриване на разходите за ремонт/възстановяване в случай на повреда или унищожаване на съоръжението) на </w:t>
      </w:r>
      <w:r w:rsidR="001D28DD" w:rsidRPr="00E57C4A">
        <w:rPr>
          <w:bCs/>
        </w:rPr>
        <w:t>съоръжението за съхранение</w:t>
      </w:r>
      <w:r w:rsidRPr="00E57C4A">
        <w:rPr>
          <w:bCs/>
        </w:rPr>
        <w:t xml:space="preserve"> за първата година на експлоатация, която е най-малко равна на размера на безвъзмездните средства</w:t>
      </w:r>
      <w:r w:rsidR="00664CBF" w:rsidRPr="00E57C4A">
        <w:rPr>
          <w:bCs/>
        </w:rPr>
        <w:t xml:space="preserve"> (застраховката следва да се поддържа валидна за периода на устойчивост на инвестицията – 5 години)</w:t>
      </w:r>
      <w:r w:rsidRPr="00E57C4A">
        <w:rPr>
          <w:bCs/>
        </w:rPr>
        <w:t>;</w:t>
      </w:r>
    </w:p>
    <w:p w14:paraId="646B867E" w14:textId="70D2F331" w:rsidR="00153B53" w:rsidRPr="00E57C4A" w:rsidRDefault="00153B53" w:rsidP="00153B53">
      <w:pPr>
        <w:spacing w:before="120" w:after="120" w:line="312" w:lineRule="auto"/>
        <w:jc w:val="both"/>
        <w:rPr>
          <w:bCs/>
        </w:rPr>
      </w:pPr>
      <w:r w:rsidRPr="00E57C4A">
        <w:rPr>
          <w:bCs/>
        </w:rPr>
        <w:t xml:space="preserve">- застраховка </w:t>
      </w:r>
      <w:r w:rsidR="00DC5756" w:rsidRPr="00E57C4A">
        <w:rPr>
          <w:bCs/>
        </w:rPr>
        <w:t>"</w:t>
      </w:r>
      <w:r w:rsidRPr="00E57C4A">
        <w:rPr>
          <w:bCs/>
        </w:rPr>
        <w:t>Отговорност към трети лица</w:t>
      </w:r>
      <w:r w:rsidR="00DC5756" w:rsidRPr="00E57C4A">
        <w:rPr>
          <w:bCs/>
        </w:rPr>
        <w:t>"</w:t>
      </w:r>
      <w:r w:rsidRPr="00E57C4A">
        <w:rPr>
          <w:bCs/>
        </w:rPr>
        <w:t xml:space="preserve"> за </w:t>
      </w:r>
      <w:r w:rsidR="00664CBF" w:rsidRPr="00E57C4A">
        <w:rPr>
          <w:bCs/>
        </w:rPr>
        <w:t>съоръжението за съхранение</w:t>
      </w:r>
      <w:r w:rsidRPr="00E57C4A">
        <w:rPr>
          <w:bCs/>
        </w:rPr>
        <w:t xml:space="preserve"> за първата година на експлоатация, която да е поне равна на сумата на безвъзмездните средства</w:t>
      </w:r>
      <w:r w:rsidR="00664CBF" w:rsidRPr="00E57C4A">
        <w:rPr>
          <w:bCs/>
        </w:rPr>
        <w:t xml:space="preserve"> (застраховката следва да се поддържа валидна за периода на устойчивост на инвестицията – 5 години)</w:t>
      </w:r>
      <w:r w:rsidRPr="00E57C4A">
        <w:rPr>
          <w:bCs/>
        </w:rPr>
        <w:t>;</w:t>
      </w:r>
    </w:p>
    <w:p w14:paraId="0C13766E" w14:textId="35FE1FDA" w:rsidR="00153B53" w:rsidRPr="003474BD" w:rsidRDefault="00153B53" w:rsidP="00153B53">
      <w:pPr>
        <w:spacing w:before="120" w:after="120" w:line="312" w:lineRule="auto"/>
        <w:jc w:val="both"/>
        <w:rPr>
          <w:bCs/>
        </w:rPr>
      </w:pPr>
      <w:r w:rsidRPr="00E57C4A">
        <w:rPr>
          <w:bCs/>
        </w:rPr>
        <w:t xml:space="preserve">- план за експлоатация и управление на </w:t>
      </w:r>
      <w:r w:rsidR="00483EC2" w:rsidRPr="00E57C4A">
        <w:rPr>
          <w:bCs/>
        </w:rPr>
        <w:t>съоръжението за съхранение</w:t>
      </w:r>
      <w:r w:rsidRPr="00E57C4A">
        <w:rPr>
          <w:bCs/>
        </w:rPr>
        <w:t xml:space="preserve">, който включва най-малко: (а) 3-годишна гаранция за трансформатори и инвертори, която покрива замяната им в случай на повреда; (б) 10 години гаранция за всички корпуси </w:t>
      </w:r>
      <w:r w:rsidR="00483EC2" w:rsidRPr="00E57C4A">
        <w:rPr>
          <w:bCs/>
        </w:rPr>
        <w:t>на съоръжението за съхранение</w:t>
      </w:r>
      <w:r w:rsidRPr="00E57C4A">
        <w:rPr>
          <w:bCs/>
        </w:rPr>
        <w:t xml:space="preserve">; и (с) процедура за временно съхранение и предаване за рециклиране и/или обезвреждане на негодните за употреба </w:t>
      </w:r>
      <w:r w:rsidR="00424862" w:rsidRPr="00E57C4A">
        <w:rPr>
          <w:bCs/>
        </w:rPr>
        <w:t>компоненти на съоръжението за съхранение</w:t>
      </w:r>
      <w:r w:rsidR="00664CBF" w:rsidRPr="0081051E">
        <w:rPr>
          <w:bCs/>
        </w:rPr>
        <w:t>.</w:t>
      </w:r>
    </w:p>
    <w:p w14:paraId="2C371D73" w14:textId="2E9B2C9E" w:rsidR="00153B53" w:rsidRPr="003474BD" w:rsidRDefault="00153B53" w:rsidP="00153B53">
      <w:pPr>
        <w:pBdr>
          <w:top w:val="double" w:sz="4" w:space="1" w:color="538135"/>
          <w:left w:val="double" w:sz="4" w:space="4" w:color="538135"/>
          <w:bottom w:val="double" w:sz="4" w:space="1" w:color="538135"/>
          <w:right w:val="double" w:sz="4" w:space="4" w:color="538135"/>
        </w:pBdr>
        <w:spacing w:before="120" w:after="120" w:line="312" w:lineRule="auto"/>
        <w:jc w:val="both"/>
      </w:pPr>
      <w:r w:rsidRPr="003474BD">
        <w:rPr>
          <w:b/>
          <w:bCs/>
        </w:rPr>
        <w:t>ВАЖНО:</w:t>
      </w:r>
      <w:r w:rsidRPr="003474BD">
        <w:t xml:space="preserve"> При неспазване на изискванията и непредставяне на документите по т. II в предвидените срокове, СНД има право да прекрати договора </w:t>
      </w:r>
      <w:r w:rsidRPr="003F1720">
        <w:t xml:space="preserve">съгласно </w:t>
      </w:r>
      <w:r w:rsidRPr="00E57C4A">
        <w:t>чл. 3.5.3</w:t>
      </w:r>
      <w:r w:rsidRPr="003F1720">
        <w:t xml:space="preserve"> от Договора за финансиране (Приложение </w:t>
      </w:r>
      <w:r w:rsidRPr="00E57C4A">
        <w:t>2</w:t>
      </w:r>
      <w:r w:rsidRPr="003F1720">
        <w:t xml:space="preserve"> към Условията за изпълнение).</w:t>
      </w:r>
    </w:p>
    <w:p w14:paraId="59718657" w14:textId="77777777" w:rsidR="00153B53" w:rsidRPr="003474BD" w:rsidRDefault="00153B53" w:rsidP="00153B53">
      <w:pPr>
        <w:spacing w:before="120" w:after="120" w:line="312" w:lineRule="auto"/>
        <w:jc w:val="both"/>
        <w:rPr>
          <w:b/>
          <w:color w:val="000000" w:themeColor="text1"/>
        </w:rPr>
      </w:pPr>
    </w:p>
    <w:p w14:paraId="733B8EF8" w14:textId="77777777" w:rsidR="00153B53" w:rsidRPr="003474BD" w:rsidRDefault="00153B53" w:rsidP="00153B53">
      <w:pPr>
        <w:spacing w:before="120" w:after="120" w:line="312" w:lineRule="auto"/>
        <w:jc w:val="both"/>
      </w:pPr>
      <w:r w:rsidRPr="003474BD">
        <w:rPr>
          <w:b/>
        </w:rPr>
        <w:t>5)</w:t>
      </w:r>
      <w:r w:rsidRPr="003474BD">
        <w:t xml:space="preserve"> </w:t>
      </w:r>
      <w:r w:rsidRPr="003474BD">
        <w:rPr>
          <w:b/>
        </w:rPr>
        <w:t>Свидетелство за съдимост</w:t>
      </w:r>
      <w:r w:rsidRPr="003474BD">
        <w:t xml:space="preserve"> на всички лица, които са официални представляващи на кандидата и са вписани като такива в ТР и Регистъра на ЮЛНЦ, независимо от това дали заедно и/или поотделно, и/или по друг начин.</w:t>
      </w:r>
    </w:p>
    <w:p w14:paraId="4EE8B85A" w14:textId="77777777" w:rsidR="00153B53" w:rsidRPr="003474BD" w:rsidRDefault="00153B53" w:rsidP="00153B53">
      <w:pPr>
        <w:pBdr>
          <w:top w:val="double" w:sz="4" w:space="1" w:color="538135"/>
          <w:left w:val="double" w:sz="4" w:space="4" w:color="538135"/>
          <w:bottom w:val="double" w:sz="4" w:space="1" w:color="538135"/>
          <w:right w:val="double" w:sz="4" w:space="4" w:color="538135"/>
        </w:pBdr>
        <w:spacing w:before="120" w:after="120" w:line="312" w:lineRule="auto"/>
        <w:jc w:val="both"/>
      </w:pPr>
      <w:r w:rsidRPr="003474BD">
        <w:rPr>
          <w:b/>
        </w:rPr>
        <w:t>ВАЖНО:</w:t>
      </w:r>
      <w:r w:rsidRPr="003474BD">
        <w:t xml:space="preserve"> Служебна проверка е възможно да бъде извършена по отношение на лица, които са родени в България и не са осъждани.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 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9D50124" w14:textId="77777777" w:rsidR="00DC21CD" w:rsidRDefault="00DC21CD" w:rsidP="00153B53">
      <w:pPr>
        <w:spacing w:before="120" w:after="120" w:line="312" w:lineRule="auto"/>
        <w:jc w:val="both"/>
        <w:rPr>
          <w:b/>
        </w:rPr>
      </w:pPr>
    </w:p>
    <w:p w14:paraId="50F54310" w14:textId="1C8A1F07" w:rsidR="00153B53" w:rsidRPr="003474BD" w:rsidRDefault="00153B53" w:rsidP="00153B53">
      <w:pPr>
        <w:spacing w:before="120" w:after="120" w:line="312" w:lineRule="auto"/>
        <w:jc w:val="both"/>
      </w:pPr>
      <w:r w:rsidRPr="003474BD">
        <w:rPr>
          <w:b/>
        </w:rPr>
        <w:t>6)</w:t>
      </w:r>
      <w:r w:rsidRPr="003474BD">
        <w:t xml:space="preserve"> </w:t>
      </w:r>
      <w:r w:rsidRPr="003474BD">
        <w:rPr>
          <w:b/>
        </w:rPr>
        <w:t xml:space="preserve">Удостоверение от органите на Изпълнителна агенция </w:t>
      </w:r>
      <w:r w:rsidR="00DC5756" w:rsidRPr="003474BD">
        <w:rPr>
          <w:b/>
        </w:rPr>
        <w:t>"</w:t>
      </w:r>
      <w:r w:rsidRPr="003474BD">
        <w:rPr>
          <w:b/>
        </w:rPr>
        <w:t>Главна инспекция по труда</w:t>
      </w:r>
      <w:r w:rsidR="00DC5756" w:rsidRPr="003474BD">
        <w:rPr>
          <w:b/>
        </w:rPr>
        <w:t>"</w:t>
      </w:r>
      <w:r w:rsidRPr="003474BD">
        <w:t xml:space="preserve"> документи, във връзка с обстоятелствата по чл. 54, ал. 1, т. 6 от ЗОП.</w:t>
      </w:r>
    </w:p>
    <w:p w14:paraId="6C1AAC01" w14:textId="77777777" w:rsidR="00153B53" w:rsidRPr="003474BD" w:rsidRDefault="00153B53" w:rsidP="00153B53">
      <w:pPr>
        <w:pBdr>
          <w:top w:val="double" w:sz="4" w:space="1" w:color="538135"/>
          <w:left w:val="double" w:sz="4" w:space="4" w:color="538135"/>
          <w:bottom w:val="double" w:sz="4" w:space="1" w:color="538135"/>
          <w:right w:val="double" w:sz="4" w:space="4" w:color="538135"/>
        </w:pBdr>
        <w:spacing w:before="120" w:after="120" w:line="312" w:lineRule="auto"/>
      </w:pPr>
      <w:r w:rsidRPr="003474BD">
        <w:rPr>
          <w:b/>
        </w:rPr>
        <w:lastRenderedPageBreak/>
        <w:t>ВАЖНО:</w:t>
      </w:r>
      <w:r w:rsidRPr="003474BD">
        <w:t xml:space="preserve"> 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 има право да докаже, че е предприел съответни мерки за надеждност, като:</w:t>
      </w:r>
    </w:p>
    <w:p w14:paraId="5645917B" w14:textId="77777777" w:rsidR="00153B53" w:rsidRPr="003474BD" w:rsidRDefault="00153B53" w:rsidP="00153B53">
      <w:pPr>
        <w:pBdr>
          <w:top w:val="double" w:sz="4" w:space="1" w:color="538135"/>
          <w:left w:val="double" w:sz="4" w:space="4" w:color="538135"/>
          <w:bottom w:val="double" w:sz="4" w:space="1" w:color="538135"/>
          <w:right w:val="double" w:sz="4" w:space="4" w:color="538135"/>
        </w:pBdr>
        <w:spacing w:before="120" w:after="120" w:line="312" w:lineRule="auto"/>
      </w:pPr>
      <w:r w:rsidRPr="003474BD">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45EB03E9" w14:textId="77777777" w:rsidR="00153B53" w:rsidRPr="003474BD" w:rsidRDefault="00153B53" w:rsidP="00153B53">
      <w:pPr>
        <w:pBdr>
          <w:top w:val="double" w:sz="4" w:space="1" w:color="538135"/>
          <w:left w:val="double" w:sz="4" w:space="4" w:color="538135"/>
          <w:bottom w:val="double" w:sz="4" w:space="1" w:color="538135"/>
          <w:right w:val="double" w:sz="4" w:space="4" w:color="538135"/>
        </w:pBdr>
        <w:spacing w:before="120" w:after="120" w:line="312" w:lineRule="auto"/>
      </w:pPr>
      <w:r w:rsidRPr="003474BD">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6401CE85" w14:textId="77777777" w:rsidR="00153B53" w:rsidRPr="003474BD" w:rsidRDefault="00153B53" w:rsidP="00153B53">
      <w:pPr>
        <w:spacing w:before="120" w:after="120" w:line="312" w:lineRule="auto"/>
        <w:jc w:val="both"/>
      </w:pPr>
      <w:r w:rsidRPr="003474BD">
        <w:t>Представените доказателства ще бъдат разглеждани и преценявани от СНД като се отчита приложимостта на мерките при спазване на чл. 57, ал. 3, буква б) от ЗОП, тежестта и конкретните обстоятелства, свързани с нарушението.</w:t>
      </w:r>
    </w:p>
    <w:p w14:paraId="345CAC18" w14:textId="77777777" w:rsidR="00153B53" w:rsidRPr="003474BD" w:rsidRDefault="00153B53" w:rsidP="00153B53">
      <w:pPr>
        <w:spacing w:before="120" w:after="120" w:line="312" w:lineRule="auto"/>
        <w:jc w:val="both"/>
        <w:rPr>
          <w:b/>
        </w:rPr>
      </w:pPr>
      <w:r w:rsidRPr="003474BD">
        <w:rPr>
          <w:b/>
        </w:rPr>
        <w:t>III</w:t>
      </w:r>
      <w:r w:rsidRPr="003474BD">
        <w:t xml:space="preserve">. </w:t>
      </w:r>
      <w:r w:rsidRPr="003474BD">
        <w:rPr>
          <w:b/>
        </w:rPr>
        <w:t>Преди сключване на договор за финансиране, СНД ще извършат и следните проверки по отношение на всички кандидати, до които са изпратени покани по чл. 19, ал.2 от ПМС 114/2020:</w:t>
      </w:r>
    </w:p>
    <w:p w14:paraId="6242DE26" w14:textId="77777777" w:rsidR="00153B53" w:rsidRPr="008B0907" w:rsidRDefault="00153B53" w:rsidP="00153B53">
      <w:pPr>
        <w:spacing w:before="120" w:after="120" w:line="312" w:lineRule="auto"/>
        <w:jc w:val="both"/>
        <w:rPr>
          <w:b/>
        </w:rPr>
      </w:pPr>
      <w:r w:rsidRPr="003474BD">
        <w:rPr>
          <w:b/>
        </w:rPr>
        <w:t xml:space="preserve">1. Документална </w:t>
      </w:r>
      <w:r w:rsidRPr="008B0907">
        <w:rPr>
          <w:b/>
        </w:rPr>
        <w:t xml:space="preserve">проверка за </w:t>
      </w:r>
      <w:r w:rsidRPr="00C3025C">
        <w:rPr>
          <w:b/>
        </w:rPr>
        <w:t>свързани предприятия</w:t>
      </w:r>
      <w:r w:rsidRPr="008B0907">
        <w:rPr>
          <w:b/>
        </w:rPr>
        <w:t>, включени в списъка с одобрените за финансиране предложения за изпълнение на инвестиция/ списъка с резервни предложения за изпълнение на инвестиция.</w:t>
      </w:r>
    </w:p>
    <w:p w14:paraId="3A5131F2" w14:textId="77777777" w:rsidR="00153B53" w:rsidRPr="008B0907" w:rsidRDefault="00153B53" w:rsidP="00153B53">
      <w:pPr>
        <w:spacing w:before="120" w:after="120" w:line="312" w:lineRule="auto"/>
        <w:jc w:val="both"/>
        <w:rPr>
          <w:b/>
          <w:color w:val="000000" w:themeColor="text1"/>
        </w:rPr>
      </w:pPr>
      <w:r w:rsidRPr="00C3025C">
        <w:t>Свързаността ще се установява съгласно т. 3 на Приложение 1 на Регламент (ЕС №651/214).</w:t>
      </w:r>
      <w:r w:rsidRPr="008B0907">
        <w:t xml:space="preserve">  </w:t>
      </w:r>
    </w:p>
    <w:p w14:paraId="57F5D818" w14:textId="77777777" w:rsidR="00153B53" w:rsidRPr="003474BD" w:rsidRDefault="00153B53" w:rsidP="00153B53">
      <w:pPr>
        <w:spacing w:before="120" w:after="120" w:line="312" w:lineRule="auto"/>
        <w:jc w:val="both"/>
        <w:rPr>
          <w:color w:val="000000" w:themeColor="text1"/>
        </w:rPr>
      </w:pPr>
      <w:r w:rsidRPr="008B0907">
        <w:rPr>
          <w:b/>
          <w:color w:val="000000" w:themeColor="text1"/>
        </w:rPr>
        <w:t>2.</w:t>
      </w:r>
      <w:r w:rsidRPr="008B0907">
        <w:rPr>
          <w:color w:val="000000" w:themeColor="text1"/>
        </w:rPr>
        <w:t xml:space="preserve"> </w:t>
      </w:r>
      <w:r w:rsidRPr="008B0907">
        <w:rPr>
          <w:b/>
          <w:color w:val="000000" w:themeColor="text1"/>
        </w:rPr>
        <w:t>Член на управителен или контролен</w:t>
      </w:r>
      <w:r w:rsidRPr="003474BD">
        <w:rPr>
          <w:b/>
          <w:color w:val="000000" w:themeColor="text1"/>
        </w:rPr>
        <w:t xml:space="preserve"> орган, както и временно изпълняващ такава длъжност, включително прокурист или търговски пълномощник на кандидата, е свързано лице</w:t>
      </w:r>
      <w:r w:rsidRPr="003474BD">
        <w:rPr>
          <w:color w:val="000000" w:themeColor="text1"/>
        </w:rPr>
        <w:t xml:space="preserve">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СНД.</w:t>
      </w:r>
    </w:p>
    <w:p w14:paraId="0D6FFFFE" w14:textId="77777777" w:rsidR="00153B53" w:rsidRPr="003474BD" w:rsidRDefault="00153B53" w:rsidP="00153B53">
      <w:pPr>
        <w:spacing w:before="120" w:after="120" w:line="312" w:lineRule="auto"/>
        <w:jc w:val="both"/>
        <w:rPr>
          <w:b/>
          <w:color w:val="000000" w:themeColor="text1"/>
        </w:rPr>
      </w:pPr>
      <w:r w:rsidRPr="003474BD">
        <w:rPr>
          <w:b/>
          <w:color w:val="000000" w:themeColor="text1"/>
        </w:rPr>
        <w:t>3. Кандидатът е регистриран в ТР и Регистъра на ЮЛНЦ и има регистриран/обявен действителен собственик.</w:t>
      </w:r>
    </w:p>
    <w:p w14:paraId="1CBC5CA3" w14:textId="77777777" w:rsidR="00153B53" w:rsidRPr="003474BD" w:rsidRDefault="00153B53" w:rsidP="00153B53">
      <w:pPr>
        <w:spacing w:before="120" w:after="120" w:line="312" w:lineRule="auto"/>
        <w:jc w:val="both"/>
      </w:pPr>
      <w:r w:rsidRPr="003474BD">
        <w:rPr>
          <w:b/>
        </w:rPr>
        <w:t>4. Кандидатът отговаря на останалите изисквания и ограничения, поставени в Условията за кандидатстване,</w:t>
      </w:r>
      <w:r w:rsidRPr="003474BD">
        <w:t xml:space="preserve"> и за които проверка по същество се извършва преди сключване на договор.</w:t>
      </w:r>
    </w:p>
    <w:p w14:paraId="013A96E3" w14:textId="77777777" w:rsidR="00153B53" w:rsidRPr="003474BD" w:rsidRDefault="00153B53" w:rsidP="00153B53">
      <w:pPr>
        <w:spacing w:before="120" w:after="120" w:line="312" w:lineRule="auto"/>
        <w:jc w:val="both"/>
      </w:pPr>
      <w:r w:rsidRPr="003474BD">
        <w:lastRenderedPageBreak/>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3FBB2262" w14:textId="54EC3DD2" w:rsidR="00153B53" w:rsidRPr="003474BD" w:rsidRDefault="00153B53" w:rsidP="00153B53">
      <w:pPr>
        <w:spacing w:before="120" w:after="120" w:line="312" w:lineRule="auto"/>
        <w:jc w:val="both"/>
        <w:rPr>
          <w:b/>
        </w:rPr>
      </w:pPr>
      <w:r w:rsidRPr="003474BD">
        <w:rPr>
          <w:b/>
        </w:rPr>
        <w:t>IV. Преди сключване на договор за финансиране, СНД ще извърши и следните проверки:</w:t>
      </w:r>
    </w:p>
    <w:p w14:paraId="6F99056A" w14:textId="19E9E43C" w:rsidR="00153B53" w:rsidRPr="00E57C4A" w:rsidRDefault="00AF0EBB" w:rsidP="00153B53">
      <w:pPr>
        <w:spacing w:before="120" w:after="120" w:line="312" w:lineRule="auto"/>
        <w:jc w:val="both"/>
      </w:pPr>
      <w:r w:rsidRPr="00E57C4A">
        <w:t>1</w:t>
      </w:r>
      <w:r w:rsidR="00153B53" w:rsidRPr="00E57C4A">
        <w:t xml:space="preserve">. Кандидати , които са в затруднено положение </w:t>
      </w:r>
      <w:r w:rsidR="008D6481" w:rsidRPr="00E57C4A">
        <w:t>по смисъла на</w:t>
      </w:r>
      <w:r w:rsidR="00153B53" w:rsidRPr="00E57C4A">
        <w:t xml:space="preserve"> чл. 2, параграф 18 от Регламент на Комисията (ЕС) № 651/2014. </w:t>
      </w:r>
    </w:p>
    <w:p w14:paraId="378944E9" w14:textId="48199ED9" w:rsidR="00153B53" w:rsidRPr="00E57C4A" w:rsidRDefault="00AF0EBB" w:rsidP="00153B53">
      <w:pPr>
        <w:spacing w:before="120" w:after="120" w:line="312" w:lineRule="auto"/>
        <w:jc w:val="both"/>
      </w:pPr>
      <w:r w:rsidRPr="00E57C4A">
        <w:t xml:space="preserve">2. </w:t>
      </w:r>
      <w:r w:rsidR="009D2940" w:rsidRPr="00E57C4A">
        <w:t>Кумулативно предоставяне и двойно финансиране по чл. 191 от Регламент (ЕС) 2018/1046</w:t>
      </w:r>
    </w:p>
    <w:p w14:paraId="400204ED" w14:textId="77777777" w:rsidR="00153B53" w:rsidRPr="003474BD" w:rsidRDefault="00153B53" w:rsidP="00153B53">
      <w:pPr>
        <w:spacing w:before="120" w:after="120" w:line="312" w:lineRule="auto"/>
        <w:jc w:val="both"/>
        <w:rPr>
          <w:b/>
          <w:bCs/>
        </w:rPr>
      </w:pPr>
      <w:r w:rsidRPr="003474BD">
        <w:rPr>
          <w:b/>
          <w:bCs/>
        </w:rPr>
        <w:t>V. Изпълнение и електронно отчитане на инвестицията</w:t>
      </w:r>
    </w:p>
    <w:p w14:paraId="2883D77C" w14:textId="0315BE7F" w:rsidR="00153B53" w:rsidRPr="003474BD" w:rsidRDefault="00153B53" w:rsidP="00153B53">
      <w:pPr>
        <w:spacing w:before="120" w:after="120" w:line="312" w:lineRule="auto"/>
        <w:jc w:val="both"/>
      </w:pPr>
      <w:r w:rsidRPr="003474BD">
        <w:t xml:space="preserve">За целите на изпълнението и електронното отчитане на инвестицията, одобрените за финансиране крайни получатели следва самостоятелно да създадат потребителски профили за достъп до ИСМ-ИСУН 2020, раздел НПВУ, като използват функционалностите на системата. Потребителските профили за електронно отчитане се създават от одобрените крайни получатели в модул </w:t>
      </w:r>
      <w:r w:rsidR="00DC5756" w:rsidRPr="003474BD">
        <w:t>"</w:t>
      </w:r>
      <w:r w:rsidRPr="003474BD">
        <w:t>E-кандидатстване</w:t>
      </w:r>
      <w:r w:rsidR="00DC5756" w:rsidRPr="003474BD">
        <w:t>"</w:t>
      </w:r>
      <w:r w:rsidRPr="003474BD">
        <w:t xml:space="preserve">, раздел </w:t>
      </w:r>
      <w:r w:rsidR="00DC5756" w:rsidRPr="003474BD">
        <w:t>"</w:t>
      </w:r>
      <w:r w:rsidRPr="003474BD">
        <w:t>Проектни предложения</w:t>
      </w:r>
      <w:r w:rsidR="00DC5756" w:rsidRPr="003474BD">
        <w:t>"</w:t>
      </w:r>
      <w:r w:rsidRPr="003474BD">
        <w:t xml:space="preserve">, секция (таб) </w:t>
      </w:r>
      <w:r w:rsidR="00DC5756" w:rsidRPr="003474BD">
        <w:t>"</w:t>
      </w:r>
      <w:r w:rsidRPr="003474BD">
        <w:t>Профили за Е-отчитане</w:t>
      </w:r>
      <w:r w:rsidR="00DC5756" w:rsidRPr="003474BD">
        <w:t>"</w:t>
      </w:r>
      <w:r w:rsidRPr="003474BD">
        <w:t xml:space="preserve">. За целта в системата следва да се прикачи 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(Приложение 3 към Условията за изпълнение) и/или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(Приложение 4 към Условията за изпълнение) – подписано с валиден КЕП от лице, което е официален представляващ на кандидата и е вписан като такъв в ТР и регистъра на ЮЛНЦ. В случаите, когато крайният получател се представлява само заедно от няколко физически лица, заявлението се попълва и подписва от всички тях. </w:t>
      </w:r>
    </w:p>
    <w:p w14:paraId="64EE6C4A" w14:textId="77777777" w:rsidR="00153B53" w:rsidRPr="003474BD" w:rsidRDefault="00153B53" w:rsidP="00153B53">
      <w:pPr>
        <w:spacing w:before="120" w:after="120" w:line="312" w:lineRule="auto"/>
        <w:jc w:val="both"/>
      </w:pPr>
      <w:r w:rsidRPr="003474BD">
        <w:t xml:space="preserve">След проверка на данните, въведени в ИСМ-ИСУН 2020, раздел НПВУ, СНД активира създадения потребителски профил след сключване на договор за финансиране със съответния краен получател. </w:t>
      </w:r>
    </w:p>
    <w:p w14:paraId="29BD2E39" w14:textId="77777777" w:rsidR="00153B53" w:rsidRPr="003474BD" w:rsidRDefault="00153B53" w:rsidP="00153B53">
      <w:pPr>
        <w:spacing w:before="120" w:after="120" w:line="312" w:lineRule="auto"/>
        <w:jc w:val="both"/>
      </w:pPr>
      <w:r w:rsidRPr="003474BD">
        <w:t xml:space="preserve">Ако кандидат по одобрено за финансиране предложение за изпълнение на инвестиция откаже сключване на договор за финансиране, се пристъпва към сключване на договор с </w:t>
      </w:r>
      <w:r w:rsidRPr="003474BD">
        <w:lastRenderedPageBreak/>
        <w:t xml:space="preserve">кандидатите от резервния списък (в случай че такъв е съставен) по поредността на класирането им, до изчерпване на наличния бюджет по процедурата. </w:t>
      </w:r>
    </w:p>
    <w:p w14:paraId="59A3044B" w14:textId="77777777" w:rsidR="00153B53" w:rsidRPr="003474BD" w:rsidRDefault="00153B53" w:rsidP="00153B53">
      <w:pPr>
        <w:spacing w:before="120" w:after="120" w:line="312" w:lineRule="auto"/>
        <w:jc w:val="both"/>
      </w:pPr>
      <w:r w:rsidRPr="003474BD">
        <w:t>В 7-дневен срок от представянето на доказателствата, че кандидатът отговаря на изискванията за краен получател на средства от МВУ, ръководителят на СНД издава решение за предоставяне на средства от МВУ по всяко предложение, включено в списъка на предложените за финансиране предложения, подредени по реда на тяхното класиране,  и размера на средствата от МВУ, които да бъдат предоставени за всяко от тях. При наличие на остатъчен финансов ресурс по процедурата решение за предоставяне на средства от Механизма се издава и за кандидати, включени в списъка с резервните предложения (в случай че такъв е съставен), които успешно са преминали оценяването, но за които не достига финансиране, подредени по реда на тяхното класиране – до изчерпване на средствата по настоящата процедура.</w:t>
      </w:r>
    </w:p>
    <w:p w14:paraId="5DE884F1" w14:textId="77777777" w:rsidR="00153B53" w:rsidRPr="003474BD" w:rsidRDefault="00153B53" w:rsidP="00153B53">
      <w:pPr>
        <w:spacing w:before="120" w:after="120" w:line="312" w:lineRule="auto"/>
        <w:jc w:val="both"/>
      </w:pPr>
      <w:r w:rsidRPr="003474BD">
        <w:t>В срок до 15 работни дни от влизането в сила на решението за предоставяне на средства от НПВУ, ръководителят на СНД сключва договор за финансиране с крайния получател.</w:t>
      </w:r>
    </w:p>
    <w:p w14:paraId="3C40E745" w14:textId="77777777" w:rsidR="00153B53" w:rsidRPr="003474BD" w:rsidRDefault="00153B53" w:rsidP="00153B53">
      <w:pPr>
        <w:spacing w:before="120" w:after="120" w:line="312" w:lineRule="auto"/>
        <w:jc w:val="both"/>
      </w:pPr>
      <w:r w:rsidRPr="003474BD">
        <w:t>Няма да бъде сключван договор за финансиране  с одобрен кандидат, по отношение на когото е налице неприключила проверка по сигнал за нередност. Договор за финансиране ще бъде сключен, в случай че проверката по сигнала приключи с извод за липса на нередност.</w:t>
      </w:r>
    </w:p>
    <w:p w14:paraId="20F5141D" w14:textId="77777777" w:rsidR="00153B53" w:rsidRPr="003474BD" w:rsidRDefault="00153B53" w:rsidP="00153B53">
      <w:pPr>
        <w:spacing w:before="120" w:after="120" w:line="312" w:lineRule="auto"/>
        <w:jc w:val="both"/>
      </w:pPr>
      <w:r w:rsidRPr="003474BD">
        <w:t>Няма да бъде сключван договор за финансиране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75117266" w14:textId="77777777" w:rsidR="00153B53" w:rsidRPr="003474BD" w:rsidRDefault="00153B53" w:rsidP="00153B53">
      <w:pPr>
        <w:spacing w:before="120" w:after="120" w:line="312" w:lineRule="auto"/>
        <w:jc w:val="both"/>
      </w:pPr>
      <w:r w:rsidRPr="003474BD">
        <w:t>При наличие на някое от посочените обстоятелства, покана по чл. 19, ал. 2 от ПМС 114/2022 г. до съответния кандидат не се изпраща.</w:t>
      </w:r>
    </w:p>
    <w:p w14:paraId="395EB967" w14:textId="77777777" w:rsidR="00153B53" w:rsidRPr="003474BD" w:rsidRDefault="00153B53" w:rsidP="00153B53">
      <w:pPr>
        <w:spacing w:before="120" w:after="120" w:line="312" w:lineRule="auto"/>
        <w:jc w:val="both"/>
      </w:pPr>
      <w:r w:rsidRPr="003474BD">
        <w:t>Ръководителят на СНД издава мотивирано решение, с което отказва предоставянето на безвъзмездно финансиране, в 10-дневен срок от одобрение на доклада на оценителната комисия, съответно от изтичането на срока по чл. 19, ал. 2 от ПМС № 114/2022 г.:</w:t>
      </w:r>
    </w:p>
    <w:p w14:paraId="01FB721F" w14:textId="77777777" w:rsidR="00153B53" w:rsidRPr="003474BD" w:rsidRDefault="00153B53" w:rsidP="00153B53">
      <w:pPr>
        <w:spacing w:before="120" w:after="120" w:line="312" w:lineRule="auto"/>
        <w:jc w:val="both"/>
      </w:pPr>
      <w:r w:rsidRPr="003474BD">
        <w:t>- за всяко предложение за изпълнение на инвестиция, включено в списъка на предложените за отхвърляне предложения за изпълнение на инвестиция и основанието за отхвърлянето им, включен в доклада за работата на оценителната комисия;</w:t>
      </w:r>
    </w:p>
    <w:p w14:paraId="2655D09A" w14:textId="77777777" w:rsidR="00153B53" w:rsidRPr="003474BD" w:rsidRDefault="00153B53" w:rsidP="00153B53">
      <w:pPr>
        <w:spacing w:before="120" w:after="120" w:line="312" w:lineRule="auto"/>
        <w:jc w:val="both"/>
      </w:pPr>
      <w:r w:rsidRPr="003474BD">
        <w:t>- при несъгласие на кандидата да сключи договор за финансиране;</w:t>
      </w:r>
    </w:p>
    <w:p w14:paraId="45306669" w14:textId="77777777" w:rsidR="00153B53" w:rsidRPr="003474BD" w:rsidRDefault="00153B53" w:rsidP="00153B53">
      <w:pPr>
        <w:spacing w:before="120" w:after="120" w:line="312" w:lineRule="auto"/>
        <w:jc w:val="both"/>
      </w:pPr>
      <w:r w:rsidRPr="003474BD">
        <w:t>- на кандидат, който не отговаря на изискванията за краен получател на средства от МВУ или не е представил в срок доказателства за това;</w:t>
      </w:r>
    </w:p>
    <w:p w14:paraId="6CD5990B" w14:textId="77777777" w:rsidR="00153B53" w:rsidRPr="003474BD" w:rsidRDefault="00153B53" w:rsidP="00153B53">
      <w:pPr>
        <w:spacing w:before="120" w:after="120" w:line="312" w:lineRule="auto"/>
        <w:jc w:val="both"/>
      </w:pPr>
      <w:r w:rsidRPr="003474BD">
        <w:lastRenderedPageBreak/>
        <w:t xml:space="preserve">- за предложения, при които се установи, че не е спазена </w:t>
      </w:r>
      <w:bookmarkStart w:id="101" w:name="_Hlk169707666"/>
      <w:r w:rsidRPr="003474BD">
        <w:t>забраната за кумулативно предоставяне и за двойно финансиране по чл. 191 от Регламент (ЕС) 2018/1046</w:t>
      </w:r>
      <w:bookmarkEnd w:id="101"/>
      <w:r w:rsidRPr="003474BD">
        <w:t>;</w:t>
      </w:r>
    </w:p>
    <w:p w14:paraId="595D1F19" w14:textId="77777777" w:rsidR="00153B53" w:rsidRPr="003474BD" w:rsidRDefault="00153B53" w:rsidP="00153B53">
      <w:pPr>
        <w:spacing w:before="120" w:after="120" w:line="312" w:lineRule="auto"/>
        <w:jc w:val="both"/>
      </w:pPr>
      <w:r w:rsidRPr="003474BD">
        <w:t>Индивидуалните административни актове на Ръководителя на СНД за отказ за предоставяне на средства се издават като електронни документи по реда на Закона за електронното управление и се съобщават на кандидатите чрез системата ИСМ-ИСУН 2020, раздел НПВУ в изпълнение на чл. 30, ал. 1 и ал. 2 от ПМС № 114/2022г. Към съобщението в ИСМ-ИСУН 2020, раздел НПВУ до съответния кандидат се прикачва и издадения акт. На интернет страницата на СНД и в Информационната система за Механизма се публикува информация относно издадените решения за отказ за предоставяне на средства, съдържаща данни за номера и датата на издаденото решение, регистрационен номер и наименование на предложението, краен получател и размер на отказаните средства.</w:t>
      </w:r>
    </w:p>
    <w:p w14:paraId="647EF5B2" w14:textId="77777777" w:rsidR="00153B53" w:rsidRPr="003474BD" w:rsidRDefault="00153B53" w:rsidP="00153B53">
      <w:pPr>
        <w:spacing w:before="120" w:after="120" w:line="312" w:lineRule="auto"/>
        <w:jc w:val="both"/>
      </w:pPr>
      <w:r w:rsidRPr="003474BD">
        <w:t>Всеки кандидат може да подаде до Ръководителя на СНД сигнал за предоставяне на невярна и/или подвеждаща информация от кандидати в процедури за предоставяне на средства и/или от краен получател на безвъзмездно финансиране, които при изпълнение на договор, сключен по предложение за изпълнение на инвестиция, финансиран от МВУ, предоставят невярна и /или подвеждаща информация за вписване в регистъра и проверка.</w:t>
      </w:r>
    </w:p>
    <w:p w14:paraId="75A491EA" w14:textId="77777777" w:rsidR="00153B53" w:rsidRPr="003474BD" w:rsidRDefault="00153B53" w:rsidP="00153B53">
      <w:pPr>
        <w:spacing w:before="120" w:after="120" w:line="312" w:lineRule="auto"/>
        <w:jc w:val="both"/>
      </w:pPr>
      <w:r w:rsidRPr="003474BD">
        <w:t>След сключване на договора за финансиране, с оглед спазване на изискванията за прозрачност на държавните помощи във връзка със Съобщението относно прозрачността, ще се публикува информация за предоставените държавни помощи в размер над 500 000 евро.</w:t>
      </w:r>
    </w:p>
    <w:p w14:paraId="457EBF8F" w14:textId="77777777" w:rsidR="00153B53" w:rsidRPr="003474BD" w:rsidRDefault="00153B53" w:rsidP="00153B53">
      <w:pPr>
        <w:spacing w:before="120" w:after="120" w:line="312" w:lineRule="auto"/>
        <w:jc w:val="both"/>
        <w:rPr>
          <w:b/>
        </w:rPr>
      </w:pPr>
      <w:r w:rsidRPr="003474BD">
        <w:rPr>
          <w:b/>
        </w:rPr>
        <w:t xml:space="preserve">Кандидатите трябва да съхраняват и да предоставят при поискване или извършване на проверки, </w:t>
      </w:r>
      <w:r w:rsidRPr="008B55D5">
        <w:rPr>
          <w:b/>
        </w:rPr>
        <w:t xml:space="preserve">както от страна на СНД, така и от страна на организациите по чл. </w:t>
      </w:r>
      <w:r w:rsidRPr="00E57C4A">
        <w:rPr>
          <w:b/>
        </w:rPr>
        <w:t>14.4</w:t>
      </w:r>
      <w:r w:rsidRPr="008B55D5">
        <w:rPr>
          <w:b/>
        </w:rPr>
        <w:t xml:space="preserve"> от Общите условия на Договор за финансиране в сроковете по чл. </w:t>
      </w:r>
      <w:r w:rsidRPr="00E57C4A">
        <w:rPr>
          <w:b/>
        </w:rPr>
        <w:t>14.7</w:t>
      </w:r>
      <w:r w:rsidRPr="008B55D5">
        <w:rPr>
          <w:b/>
        </w:rPr>
        <w:t xml:space="preserve"> от Общите условия по Договор за финансиране оригиналите на</w:t>
      </w:r>
      <w:r w:rsidRPr="003474BD">
        <w:rPr>
          <w:b/>
        </w:rPr>
        <w:t xml:space="preserve"> следните документи, подписани на хартиен носител и подадени електронно на етап кандидатстване:</w:t>
      </w:r>
    </w:p>
    <w:p w14:paraId="2A87AD0A" w14:textId="19EFBE9B" w:rsidR="00153B53" w:rsidRPr="00DC21CD" w:rsidRDefault="00153B53" w:rsidP="00153B53">
      <w:pPr>
        <w:pStyle w:val="ListParagraph"/>
        <w:numPr>
          <w:ilvl w:val="0"/>
          <w:numId w:val="21"/>
        </w:numPr>
        <w:spacing w:line="312" w:lineRule="auto"/>
        <w:ind w:left="426" w:hanging="426"/>
        <w:rPr>
          <w:rFonts w:ascii="Times New Roman" w:hAnsi="Times New Roman"/>
          <w:sz w:val="24"/>
          <w:szCs w:val="24"/>
        </w:rPr>
      </w:pPr>
      <w:r w:rsidRPr="003474BD">
        <w:rPr>
          <w:rFonts w:ascii="Times New Roman" w:hAnsi="Times New Roman"/>
          <w:sz w:val="24"/>
          <w:szCs w:val="24"/>
        </w:rPr>
        <w:t xml:space="preserve">Декларация при кандидатстване </w:t>
      </w:r>
      <w:r w:rsidR="008B55D5">
        <w:rPr>
          <w:rFonts w:ascii="Times New Roman" w:hAnsi="Times New Roman"/>
          <w:sz w:val="24"/>
          <w:szCs w:val="24"/>
        </w:rPr>
        <w:t xml:space="preserve">и за </w:t>
      </w:r>
      <w:r w:rsidR="008B55D5" w:rsidRPr="003474BD">
        <w:rPr>
          <w:rFonts w:ascii="Times New Roman" w:hAnsi="Times New Roman"/>
          <w:sz w:val="24"/>
          <w:szCs w:val="24"/>
        </w:rPr>
        <w:t xml:space="preserve">приемане на Условията по процедурата </w:t>
      </w:r>
      <w:r w:rsidRPr="003474BD">
        <w:rPr>
          <w:rFonts w:ascii="Times New Roman" w:hAnsi="Times New Roman"/>
          <w:sz w:val="24"/>
          <w:szCs w:val="24"/>
        </w:rPr>
        <w:t>– попълнена по образец (</w:t>
      </w:r>
      <w:r w:rsidRPr="00DC21CD">
        <w:rPr>
          <w:rFonts w:ascii="Times New Roman" w:hAnsi="Times New Roman"/>
          <w:sz w:val="24"/>
          <w:szCs w:val="24"/>
        </w:rPr>
        <w:t xml:space="preserve">Приложение </w:t>
      </w:r>
      <w:r w:rsidR="008B55D5" w:rsidRPr="00E57C4A">
        <w:rPr>
          <w:rFonts w:ascii="Times New Roman" w:hAnsi="Times New Roman"/>
          <w:sz w:val="24"/>
          <w:szCs w:val="24"/>
        </w:rPr>
        <w:t>5</w:t>
      </w:r>
      <w:r w:rsidRPr="00DC21CD">
        <w:rPr>
          <w:rFonts w:ascii="Times New Roman" w:hAnsi="Times New Roman"/>
          <w:sz w:val="24"/>
          <w:szCs w:val="24"/>
        </w:rPr>
        <w:t>)</w:t>
      </w:r>
    </w:p>
    <w:p w14:paraId="3206152D" w14:textId="77777777" w:rsidR="00153B53" w:rsidRPr="003474BD" w:rsidRDefault="00153B53" w:rsidP="00153B53">
      <w:pPr>
        <w:pStyle w:val="ListParagraph"/>
        <w:numPr>
          <w:ilvl w:val="0"/>
          <w:numId w:val="21"/>
        </w:numPr>
        <w:spacing w:line="312" w:lineRule="auto"/>
        <w:ind w:left="426" w:hanging="426"/>
        <w:rPr>
          <w:rFonts w:ascii="Times New Roman" w:hAnsi="Times New Roman"/>
          <w:sz w:val="24"/>
          <w:szCs w:val="24"/>
        </w:rPr>
      </w:pPr>
      <w:r w:rsidRPr="003474BD">
        <w:rPr>
          <w:rFonts w:ascii="Times New Roman" w:hAnsi="Times New Roman"/>
          <w:sz w:val="24"/>
          <w:szCs w:val="24"/>
        </w:rPr>
        <w:t xml:space="preserve">Декларация за държавни/минимални помощи – попълнена по образец (Приложение </w:t>
      </w:r>
      <w:r w:rsidRPr="00E57C4A">
        <w:rPr>
          <w:rFonts w:ascii="Times New Roman" w:hAnsi="Times New Roman"/>
          <w:sz w:val="24"/>
          <w:szCs w:val="24"/>
        </w:rPr>
        <w:t>2</w:t>
      </w:r>
      <w:r w:rsidRPr="003474BD">
        <w:rPr>
          <w:rFonts w:ascii="Times New Roman" w:hAnsi="Times New Roman"/>
          <w:sz w:val="24"/>
          <w:szCs w:val="24"/>
        </w:rPr>
        <w:t>).</w:t>
      </w:r>
    </w:p>
    <w:p w14:paraId="3F9BC9AB" w14:textId="0C3D645E" w:rsidR="00153B53" w:rsidRPr="003474BD" w:rsidRDefault="00153B53" w:rsidP="00153B53">
      <w:pPr>
        <w:pStyle w:val="ListParagraph"/>
        <w:numPr>
          <w:ilvl w:val="0"/>
          <w:numId w:val="21"/>
        </w:numPr>
        <w:spacing w:line="312" w:lineRule="auto"/>
        <w:ind w:left="426" w:hanging="426"/>
        <w:rPr>
          <w:rFonts w:ascii="Times New Roman" w:hAnsi="Times New Roman"/>
          <w:sz w:val="24"/>
          <w:szCs w:val="24"/>
        </w:rPr>
      </w:pPr>
      <w:r w:rsidRPr="003474BD">
        <w:rPr>
          <w:rFonts w:ascii="Times New Roman" w:hAnsi="Times New Roman"/>
          <w:sz w:val="24"/>
          <w:szCs w:val="24"/>
        </w:rPr>
        <w:t xml:space="preserve">Декларация за липса на промяна във вече декларирани обстоятелства и представени документи (Приложение </w:t>
      </w:r>
      <w:r w:rsidR="008B55D5" w:rsidRPr="00E57C4A">
        <w:rPr>
          <w:rFonts w:ascii="Times New Roman" w:hAnsi="Times New Roman"/>
          <w:sz w:val="24"/>
          <w:szCs w:val="24"/>
        </w:rPr>
        <w:t>10</w:t>
      </w:r>
      <w:r w:rsidRPr="003474BD">
        <w:rPr>
          <w:rFonts w:ascii="Times New Roman" w:hAnsi="Times New Roman"/>
          <w:sz w:val="24"/>
          <w:szCs w:val="24"/>
        </w:rPr>
        <w:t xml:space="preserve">) или </w:t>
      </w:r>
      <w:r w:rsidR="008B55D5">
        <w:rPr>
          <w:rFonts w:ascii="Times New Roman" w:hAnsi="Times New Roman"/>
          <w:sz w:val="24"/>
          <w:szCs w:val="24"/>
        </w:rPr>
        <w:t xml:space="preserve">декларация за настъпили промени във </w:t>
      </w:r>
      <w:r w:rsidRPr="003474BD">
        <w:rPr>
          <w:rFonts w:ascii="Times New Roman" w:hAnsi="Times New Roman"/>
          <w:sz w:val="24"/>
          <w:szCs w:val="24"/>
        </w:rPr>
        <w:t>вече декларирани обстоятелства. За формата и начина на подписване на декларациите се прилагат изискваният по т. 2</w:t>
      </w:r>
      <w:r w:rsidR="008B55D5">
        <w:rPr>
          <w:rFonts w:ascii="Times New Roman" w:hAnsi="Times New Roman"/>
          <w:sz w:val="24"/>
          <w:szCs w:val="24"/>
        </w:rPr>
        <w:t>0</w:t>
      </w:r>
    </w:p>
    <w:p w14:paraId="56948B66" w14:textId="77777777" w:rsidR="00153B53" w:rsidRPr="003474BD" w:rsidRDefault="00153B53" w:rsidP="00153B53">
      <w:pPr>
        <w:pStyle w:val="ListParagraph"/>
        <w:numPr>
          <w:ilvl w:val="0"/>
          <w:numId w:val="21"/>
        </w:numPr>
        <w:spacing w:line="312" w:lineRule="auto"/>
        <w:ind w:left="426" w:hanging="426"/>
        <w:rPr>
          <w:rFonts w:ascii="Times New Roman" w:hAnsi="Times New Roman"/>
          <w:sz w:val="24"/>
          <w:szCs w:val="24"/>
        </w:rPr>
      </w:pPr>
      <w:r w:rsidRPr="003474BD">
        <w:rPr>
          <w:rFonts w:ascii="Times New Roman" w:hAnsi="Times New Roman"/>
          <w:sz w:val="24"/>
          <w:szCs w:val="24"/>
        </w:rPr>
        <w:t xml:space="preserve">Изрично пълномощно за подаване на предложението за изпълнение на инвестиция (Приложение </w:t>
      </w:r>
      <w:r w:rsidRPr="00E57C4A">
        <w:rPr>
          <w:rFonts w:ascii="Times New Roman" w:hAnsi="Times New Roman"/>
          <w:sz w:val="24"/>
          <w:szCs w:val="24"/>
        </w:rPr>
        <w:t>1</w:t>
      </w:r>
      <w:r w:rsidRPr="008B55D5">
        <w:rPr>
          <w:rFonts w:ascii="Times New Roman" w:hAnsi="Times New Roman"/>
          <w:sz w:val="24"/>
          <w:szCs w:val="24"/>
        </w:rPr>
        <w:t>)</w:t>
      </w:r>
      <w:r w:rsidRPr="003474BD">
        <w:rPr>
          <w:rFonts w:ascii="Times New Roman" w:hAnsi="Times New Roman"/>
          <w:sz w:val="24"/>
          <w:szCs w:val="24"/>
        </w:rPr>
        <w:t>, ако е приложимо.</w:t>
      </w:r>
    </w:p>
    <w:p w14:paraId="1BB49F93" w14:textId="77777777" w:rsidR="00153B53" w:rsidRPr="003474BD" w:rsidRDefault="00153B53" w:rsidP="00153B53">
      <w:pPr>
        <w:spacing w:before="120" w:after="120" w:line="312" w:lineRule="auto"/>
        <w:jc w:val="both"/>
      </w:pPr>
      <w:r w:rsidRPr="003474BD">
        <w:lastRenderedPageBreak/>
        <w:t>Актуалните декларации, представени на етап кандидатстване и на етап договаряне стават приложение към електронния Договор за финансиране с крайния получател.</w:t>
      </w:r>
    </w:p>
    <w:p w14:paraId="78A275E8" w14:textId="70D83606" w:rsidR="003F1496" w:rsidRPr="003474BD" w:rsidRDefault="003F1496" w:rsidP="00A42091">
      <w:pPr>
        <w:suppressAutoHyphens/>
        <w:spacing w:before="120" w:after="120" w:line="312" w:lineRule="auto"/>
        <w:jc w:val="both"/>
      </w:pPr>
    </w:p>
    <w:p w14:paraId="59DB072A" w14:textId="192CCC4B" w:rsidR="003F1496" w:rsidRPr="003474BD" w:rsidRDefault="003F1496" w:rsidP="00C12B22">
      <w:pPr>
        <w:pStyle w:val="Heading2"/>
        <w:suppressAutoHyphens/>
        <w:spacing w:after="120" w:line="312" w:lineRule="auto"/>
        <w:rPr>
          <w:rFonts w:ascii="Times New Roman" w:hAnsi="Times New Roman"/>
          <w:color w:val="000000" w:themeColor="text1"/>
          <w:sz w:val="24"/>
          <w:szCs w:val="24"/>
        </w:rPr>
      </w:pPr>
      <w:bookmarkStart w:id="102" w:name="_Toc106285954"/>
      <w:bookmarkStart w:id="103" w:name="_Toc166258064"/>
      <w:r w:rsidRPr="003474BD">
        <w:rPr>
          <w:rFonts w:ascii="Times New Roman" w:hAnsi="Times New Roman"/>
          <w:color w:val="000000" w:themeColor="text1"/>
          <w:sz w:val="24"/>
          <w:szCs w:val="24"/>
        </w:rPr>
        <w:t>2</w:t>
      </w:r>
      <w:r w:rsidR="009E1720" w:rsidRPr="003474BD">
        <w:rPr>
          <w:rFonts w:ascii="Times New Roman" w:hAnsi="Times New Roman"/>
          <w:color w:val="000000" w:themeColor="text1"/>
          <w:sz w:val="24"/>
          <w:szCs w:val="24"/>
        </w:rPr>
        <w:t>4</w:t>
      </w:r>
      <w:r w:rsidRPr="003474BD">
        <w:rPr>
          <w:rFonts w:ascii="Times New Roman" w:hAnsi="Times New Roman"/>
          <w:color w:val="000000" w:themeColor="text1"/>
          <w:sz w:val="24"/>
          <w:szCs w:val="24"/>
        </w:rPr>
        <w:t>. Приложения към Условията за кандидатстване:</w:t>
      </w:r>
      <w:bookmarkEnd w:id="102"/>
      <w:bookmarkEnd w:id="103"/>
    </w:p>
    <w:p w14:paraId="610B624B" w14:textId="77777777" w:rsidR="00DE5697" w:rsidRDefault="00DE5697" w:rsidP="00DE5697">
      <w:pPr>
        <w:pStyle w:val="Stext"/>
        <w:rPr>
          <w:rFonts w:ascii="Times New Roman" w:hAnsi="Times New Roman"/>
          <w:sz w:val="24"/>
          <w:szCs w:val="24"/>
        </w:rPr>
      </w:pPr>
      <w:r>
        <w:rPr>
          <w:rFonts w:ascii="Times New Roman" w:hAnsi="Times New Roman" w:cs="Times New Roman"/>
          <w:color w:val="000000" w:themeColor="text1"/>
          <w:sz w:val="24"/>
          <w:szCs w:val="24"/>
          <w:lang w:val="bg-BG"/>
        </w:rPr>
        <w:t xml:space="preserve">Приложение 1 - </w:t>
      </w:r>
      <w:r w:rsidRPr="003474BD">
        <w:rPr>
          <w:rFonts w:ascii="Times New Roman" w:hAnsi="Times New Roman"/>
          <w:sz w:val="24"/>
          <w:szCs w:val="24"/>
        </w:rPr>
        <w:t>Изрично пълномощно за подаване на предложението за изпълнение на инвестиция</w:t>
      </w:r>
    </w:p>
    <w:p w14:paraId="0CC6CCD0" w14:textId="77777777" w:rsidR="00DE5697" w:rsidRDefault="00DE5697" w:rsidP="00DE5697">
      <w:pPr>
        <w:pStyle w:val="Stext"/>
        <w:rPr>
          <w:rFonts w:ascii="Times New Roman" w:hAnsi="Times New Roman"/>
          <w:sz w:val="24"/>
          <w:szCs w:val="24"/>
          <w:lang w:val="bg-BG"/>
        </w:rPr>
      </w:pPr>
      <w:r>
        <w:rPr>
          <w:rFonts w:ascii="Times New Roman" w:hAnsi="Times New Roman"/>
          <w:sz w:val="24"/>
          <w:szCs w:val="24"/>
          <w:lang w:val="bg-BG"/>
        </w:rPr>
        <w:t xml:space="preserve">Приложение 2 - </w:t>
      </w:r>
      <w:r w:rsidRPr="008A013F">
        <w:rPr>
          <w:rFonts w:ascii="Times New Roman" w:hAnsi="Times New Roman"/>
          <w:sz w:val="24"/>
          <w:szCs w:val="24"/>
          <w:lang w:val="bg-BG"/>
        </w:rPr>
        <w:t>Декларация за държавни/минимални помощи</w:t>
      </w:r>
    </w:p>
    <w:p w14:paraId="41ABFAD0" w14:textId="77777777" w:rsidR="00DE5697" w:rsidRDefault="00DE5697" w:rsidP="00DE5697">
      <w:pPr>
        <w:pStyle w:val="Stext"/>
        <w:rPr>
          <w:rFonts w:ascii="Times New Roman" w:hAnsi="Times New Roman"/>
          <w:sz w:val="24"/>
          <w:szCs w:val="24"/>
          <w:lang w:val="bg-BG"/>
        </w:rPr>
      </w:pPr>
      <w:r>
        <w:rPr>
          <w:rFonts w:ascii="Times New Roman" w:hAnsi="Times New Roman"/>
          <w:sz w:val="24"/>
          <w:szCs w:val="24"/>
          <w:lang w:val="bg-BG"/>
        </w:rPr>
        <w:t xml:space="preserve">Приложение 3 - </w:t>
      </w:r>
      <w:r w:rsidRPr="008A013F">
        <w:rPr>
          <w:rFonts w:ascii="Times New Roman" w:hAnsi="Times New Roman"/>
          <w:sz w:val="24"/>
          <w:szCs w:val="24"/>
          <w:lang w:val="bg-BG"/>
        </w:rPr>
        <w:t>Банкова гаранция за участие</w:t>
      </w:r>
    </w:p>
    <w:p w14:paraId="7DC1E0B0" w14:textId="77777777" w:rsidR="00DE5697" w:rsidRDefault="00DE5697" w:rsidP="00DE5697">
      <w:pPr>
        <w:pStyle w:val="Stext"/>
        <w:rPr>
          <w:rFonts w:ascii="Times New Roman" w:hAnsi="Times New Roman"/>
          <w:sz w:val="24"/>
          <w:szCs w:val="24"/>
          <w:lang w:val="bg-BG"/>
        </w:rPr>
      </w:pPr>
      <w:r>
        <w:rPr>
          <w:rFonts w:ascii="Times New Roman" w:hAnsi="Times New Roman"/>
          <w:sz w:val="24"/>
          <w:szCs w:val="24"/>
          <w:lang w:val="bg-BG"/>
        </w:rPr>
        <w:t xml:space="preserve">Приложение 4 - </w:t>
      </w:r>
      <w:r w:rsidRPr="008A013F">
        <w:rPr>
          <w:rFonts w:ascii="Times New Roman" w:hAnsi="Times New Roman"/>
          <w:sz w:val="24"/>
          <w:szCs w:val="24"/>
          <w:lang w:val="bg-BG"/>
        </w:rPr>
        <w:t xml:space="preserve">Банкова гаранция за </w:t>
      </w:r>
      <w:r>
        <w:rPr>
          <w:rFonts w:ascii="Times New Roman" w:hAnsi="Times New Roman"/>
          <w:sz w:val="24"/>
          <w:szCs w:val="24"/>
          <w:lang w:val="bg-BG"/>
        </w:rPr>
        <w:t>добро изпълнение</w:t>
      </w:r>
    </w:p>
    <w:p w14:paraId="11D5CC0E" w14:textId="77777777" w:rsidR="00DE5697" w:rsidRDefault="00DE5697" w:rsidP="00DE5697">
      <w:pPr>
        <w:pStyle w:val="Stext"/>
        <w:rPr>
          <w:rFonts w:ascii="Times New Roman" w:hAnsi="Times New Roman"/>
          <w:sz w:val="24"/>
          <w:szCs w:val="24"/>
          <w:lang w:val="bg-BG"/>
        </w:rPr>
      </w:pPr>
      <w:r>
        <w:rPr>
          <w:rFonts w:ascii="Times New Roman" w:hAnsi="Times New Roman"/>
          <w:sz w:val="24"/>
          <w:szCs w:val="24"/>
          <w:lang w:val="bg-BG"/>
        </w:rPr>
        <w:t xml:space="preserve">Приложение 5 – </w:t>
      </w:r>
      <w:r w:rsidRPr="008A013F">
        <w:rPr>
          <w:rFonts w:ascii="Times New Roman" w:hAnsi="Times New Roman"/>
          <w:sz w:val="24"/>
          <w:szCs w:val="24"/>
          <w:lang w:val="bg-BG"/>
        </w:rPr>
        <w:t>Декларация при кандидатстване и за приемане на условията на процедурата</w:t>
      </w:r>
    </w:p>
    <w:p w14:paraId="52020256" w14:textId="77777777" w:rsidR="00DE5697" w:rsidRDefault="00DE5697" w:rsidP="00DE5697">
      <w:pPr>
        <w:pStyle w:val="Stext"/>
        <w:rPr>
          <w:rFonts w:ascii="Times New Roman" w:hAnsi="Times New Roman"/>
          <w:sz w:val="24"/>
          <w:szCs w:val="24"/>
          <w:lang w:val="bg-BG"/>
        </w:rPr>
      </w:pPr>
      <w:r>
        <w:rPr>
          <w:rFonts w:ascii="Times New Roman" w:hAnsi="Times New Roman"/>
          <w:sz w:val="24"/>
          <w:szCs w:val="24"/>
          <w:lang w:val="bg-BG"/>
        </w:rPr>
        <w:t xml:space="preserve">Приложение 6 – Информация </w:t>
      </w:r>
      <w:r w:rsidRPr="008A013F">
        <w:rPr>
          <w:rFonts w:ascii="Times New Roman" w:hAnsi="Times New Roman"/>
          <w:sz w:val="24"/>
          <w:szCs w:val="24"/>
          <w:lang w:val="bg-BG"/>
        </w:rPr>
        <w:t>за спазване на принципа за "ненанасяне на значителни вре-ди"</w:t>
      </w:r>
    </w:p>
    <w:p w14:paraId="3220817F" w14:textId="77777777" w:rsidR="00DE5697" w:rsidRDefault="00DE5697" w:rsidP="00DE5697">
      <w:pPr>
        <w:pStyle w:val="Stext"/>
        <w:rPr>
          <w:rFonts w:ascii="Times New Roman" w:hAnsi="Times New Roman"/>
          <w:sz w:val="24"/>
          <w:szCs w:val="24"/>
          <w:lang w:val="bg-BG"/>
        </w:rPr>
      </w:pPr>
      <w:r>
        <w:rPr>
          <w:rFonts w:ascii="Times New Roman" w:hAnsi="Times New Roman"/>
          <w:sz w:val="24"/>
          <w:szCs w:val="24"/>
          <w:lang w:val="bg-BG"/>
        </w:rPr>
        <w:t xml:space="preserve">Приложение 7 – </w:t>
      </w:r>
      <w:r w:rsidRPr="008A013F">
        <w:rPr>
          <w:rFonts w:ascii="Times New Roman" w:hAnsi="Times New Roman"/>
          <w:sz w:val="24"/>
          <w:szCs w:val="24"/>
          <w:lang w:val="bg-BG"/>
        </w:rPr>
        <w:t>Формуляр за самооценка за спазване на принципа за "ненанасяне на значителни вреди"</w:t>
      </w:r>
    </w:p>
    <w:p w14:paraId="2414C054" w14:textId="77777777" w:rsidR="00DE5697" w:rsidRDefault="00DE5697" w:rsidP="00DE5697">
      <w:pPr>
        <w:pStyle w:val="Stext"/>
        <w:rPr>
          <w:rFonts w:ascii="Times New Roman" w:hAnsi="Times New Roman"/>
          <w:sz w:val="24"/>
          <w:szCs w:val="24"/>
          <w:lang w:val="bg-BG"/>
        </w:rPr>
      </w:pPr>
      <w:r>
        <w:rPr>
          <w:rFonts w:ascii="Times New Roman" w:hAnsi="Times New Roman"/>
          <w:sz w:val="24"/>
          <w:szCs w:val="24"/>
          <w:lang w:val="bg-BG"/>
        </w:rPr>
        <w:t>Приложение 8 – Минимални технически изисквания</w:t>
      </w:r>
    </w:p>
    <w:p w14:paraId="4B230C2A" w14:textId="77777777" w:rsidR="00DE5697" w:rsidRDefault="00DE5697" w:rsidP="00DE5697">
      <w:pPr>
        <w:pStyle w:val="Stext"/>
        <w:rPr>
          <w:rFonts w:ascii="Times New Roman" w:hAnsi="Times New Roman"/>
          <w:sz w:val="24"/>
          <w:szCs w:val="24"/>
          <w:lang w:val="bg-BG"/>
        </w:rPr>
      </w:pPr>
      <w:r>
        <w:rPr>
          <w:rFonts w:ascii="Times New Roman" w:hAnsi="Times New Roman"/>
          <w:sz w:val="24"/>
          <w:szCs w:val="24"/>
          <w:lang w:val="bg-BG"/>
        </w:rPr>
        <w:t xml:space="preserve">Приложение 9 – </w:t>
      </w:r>
      <w:r w:rsidRPr="008A013F">
        <w:rPr>
          <w:rFonts w:ascii="Times New Roman" w:hAnsi="Times New Roman"/>
          <w:sz w:val="24"/>
          <w:szCs w:val="24"/>
          <w:lang w:val="bg-BG"/>
        </w:rPr>
        <w:t>Критерии и методология за оценка на предложенията за осъществяване на инвестиции</w:t>
      </w:r>
    </w:p>
    <w:p w14:paraId="1A968333" w14:textId="77777777" w:rsidR="00DE5697" w:rsidRDefault="00DE5697" w:rsidP="00DE5697">
      <w:pPr>
        <w:pStyle w:val="Stext"/>
        <w:rPr>
          <w:rFonts w:ascii="Times New Roman" w:hAnsi="Times New Roman"/>
          <w:sz w:val="24"/>
          <w:szCs w:val="24"/>
          <w:lang w:val="bg-BG"/>
        </w:rPr>
      </w:pPr>
      <w:r>
        <w:rPr>
          <w:rFonts w:ascii="Times New Roman" w:hAnsi="Times New Roman"/>
          <w:sz w:val="24"/>
          <w:szCs w:val="24"/>
          <w:lang w:val="bg-BG"/>
        </w:rPr>
        <w:t>Приложение 10 – Д</w:t>
      </w:r>
      <w:r w:rsidRPr="008A013F">
        <w:rPr>
          <w:rFonts w:ascii="Times New Roman" w:hAnsi="Times New Roman"/>
          <w:sz w:val="24"/>
          <w:szCs w:val="24"/>
          <w:lang w:val="bg-BG"/>
        </w:rPr>
        <w:t>екларация за липса на промяна във вече декларирани обстоятелства и представени документи</w:t>
      </w:r>
    </w:p>
    <w:p w14:paraId="1B33EA23" w14:textId="77777777" w:rsidR="00DE5697" w:rsidRPr="008A013F" w:rsidRDefault="00DE5697" w:rsidP="00DE5697">
      <w:pPr>
        <w:pStyle w:val="Stext"/>
        <w:rPr>
          <w:rFonts w:ascii="Times New Roman" w:hAnsi="Times New Roman"/>
          <w:sz w:val="24"/>
          <w:szCs w:val="24"/>
          <w:lang w:val="bg-BG"/>
        </w:rPr>
      </w:pPr>
      <w:r>
        <w:rPr>
          <w:rFonts w:ascii="Times New Roman" w:hAnsi="Times New Roman"/>
          <w:sz w:val="24"/>
          <w:szCs w:val="24"/>
          <w:lang w:val="bg-BG"/>
        </w:rPr>
        <w:t>Приложение 11 – Условия за изпълнение</w:t>
      </w:r>
    </w:p>
    <w:p w14:paraId="0E643852" w14:textId="791670C9" w:rsidR="00E2402C" w:rsidRPr="003474BD" w:rsidRDefault="00E2402C" w:rsidP="00E2402C">
      <w:pPr>
        <w:pStyle w:val="Stext"/>
        <w:ind w:left="360"/>
        <w:rPr>
          <w:rFonts w:ascii="Times New Roman" w:hAnsi="Times New Roman" w:cs="Times New Roman"/>
          <w:color w:val="000000" w:themeColor="text1"/>
          <w:sz w:val="24"/>
          <w:szCs w:val="24"/>
          <w:lang w:val="bg-BG"/>
        </w:rPr>
      </w:pPr>
    </w:p>
    <w:p w14:paraId="232C2576" w14:textId="0F61D76B" w:rsidR="00C12B22" w:rsidRPr="003474BD" w:rsidRDefault="00C12B22" w:rsidP="00C12B22">
      <w:pPr>
        <w:pStyle w:val="Heading2"/>
        <w:suppressAutoHyphens/>
        <w:spacing w:after="120" w:line="312" w:lineRule="auto"/>
        <w:rPr>
          <w:rFonts w:ascii="Times New Roman" w:hAnsi="Times New Roman"/>
          <w:color w:val="000000" w:themeColor="text1"/>
          <w:sz w:val="24"/>
          <w:szCs w:val="24"/>
        </w:rPr>
      </w:pPr>
      <w:bookmarkStart w:id="104" w:name="_Toc150529581"/>
      <w:bookmarkStart w:id="105" w:name="_Toc166258065"/>
      <w:r w:rsidRPr="003474BD">
        <w:rPr>
          <w:rFonts w:ascii="Times New Roman" w:hAnsi="Times New Roman"/>
          <w:color w:val="000000" w:themeColor="text1"/>
          <w:sz w:val="24"/>
          <w:szCs w:val="24"/>
        </w:rPr>
        <w:t>2</w:t>
      </w:r>
      <w:r w:rsidR="009E1720" w:rsidRPr="003474BD">
        <w:rPr>
          <w:rFonts w:ascii="Times New Roman" w:hAnsi="Times New Roman"/>
          <w:color w:val="000000" w:themeColor="text1"/>
          <w:sz w:val="24"/>
          <w:szCs w:val="24"/>
        </w:rPr>
        <w:t>5</w:t>
      </w:r>
      <w:r w:rsidRPr="003474BD">
        <w:rPr>
          <w:rFonts w:ascii="Times New Roman" w:hAnsi="Times New Roman"/>
          <w:color w:val="000000" w:themeColor="text1"/>
          <w:sz w:val="24"/>
          <w:szCs w:val="24"/>
        </w:rPr>
        <w:t>. Списък на използваните съкращения:</w:t>
      </w:r>
      <w:bookmarkEnd w:id="104"/>
      <w:bookmarkEnd w:id="105"/>
    </w:p>
    <w:p w14:paraId="6FA5F49C" w14:textId="1B187F5A"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В</w:t>
      </w:r>
      <w:r w:rsidR="00D944FA" w:rsidRPr="003474BD">
        <w:rPr>
          <w:rFonts w:eastAsia="Verdana"/>
          <w:b/>
          <w:bCs/>
          <w:lang w:eastAsia="de-AT"/>
        </w:rPr>
        <w:t>Е</w:t>
      </w:r>
      <w:r w:rsidRPr="003474BD">
        <w:rPr>
          <w:rFonts w:eastAsia="Verdana"/>
          <w:b/>
          <w:bCs/>
          <w:lang w:eastAsia="de-AT"/>
        </w:rPr>
        <w:t>И</w:t>
      </w:r>
      <w:r w:rsidRPr="003474BD">
        <w:rPr>
          <w:rFonts w:eastAsia="Verdana"/>
          <w:lang w:eastAsia="de-AT"/>
        </w:rPr>
        <w:t xml:space="preserve"> – възобновяем </w:t>
      </w:r>
      <w:r w:rsidR="00D944FA" w:rsidRPr="003474BD">
        <w:rPr>
          <w:rFonts w:eastAsia="Verdana"/>
          <w:lang w:eastAsia="de-AT"/>
        </w:rPr>
        <w:t xml:space="preserve">енергиен </w:t>
      </w:r>
      <w:r w:rsidRPr="003474BD">
        <w:rPr>
          <w:rFonts w:eastAsia="Verdana"/>
          <w:lang w:eastAsia="de-AT"/>
        </w:rPr>
        <w:t xml:space="preserve">източник/възобновяеми </w:t>
      </w:r>
      <w:r w:rsidR="00D944FA" w:rsidRPr="003474BD">
        <w:rPr>
          <w:rFonts w:eastAsia="Verdana"/>
          <w:lang w:eastAsia="de-AT"/>
        </w:rPr>
        <w:t xml:space="preserve">енергийни </w:t>
      </w:r>
      <w:r w:rsidRPr="003474BD">
        <w:rPr>
          <w:rFonts w:eastAsia="Verdana"/>
          <w:lang w:eastAsia="de-AT"/>
        </w:rPr>
        <w:t>източници</w:t>
      </w:r>
      <w:r w:rsidR="00B52C5B" w:rsidRPr="003474BD">
        <w:rPr>
          <w:rFonts w:eastAsia="Verdana"/>
          <w:lang w:eastAsia="de-AT"/>
        </w:rPr>
        <w:t xml:space="preserve"> </w:t>
      </w:r>
    </w:p>
    <w:p w14:paraId="31B598C4" w14:textId="4977D2AF" w:rsidR="00283BEF" w:rsidRPr="003474BD" w:rsidRDefault="00283BEF" w:rsidP="00C12B22">
      <w:pPr>
        <w:spacing w:before="240" w:after="60" w:line="280" w:lineRule="atLeast"/>
        <w:jc w:val="both"/>
        <w:rPr>
          <w:rFonts w:eastAsia="Verdana"/>
          <w:lang w:eastAsia="de-AT"/>
        </w:rPr>
      </w:pPr>
      <w:r w:rsidRPr="003474BD">
        <w:rPr>
          <w:rFonts w:eastAsia="Verdana"/>
          <w:b/>
          <w:bCs/>
          <w:lang w:eastAsia="de-AT"/>
        </w:rPr>
        <w:t>ВРКП</w:t>
      </w:r>
      <w:r w:rsidRPr="003474BD">
        <w:rPr>
          <w:rFonts w:eastAsia="Verdana"/>
          <w:lang w:eastAsia="de-AT"/>
        </w:rPr>
        <w:t xml:space="preserve"> - Временна рамка за мерки за държавна помощ при кризи и преход в подкрепа на икономиката след агресията на Русия срещу Украйна, последно изменена със Съобщение на Комисията за Изменение на Временната рамка за мерки за държавна помощ при кризи и преход в подкрепа на икономиката след агресията на Русия срещу Украйна C/2023/1188. </w:t>
      </w:r>
    </w:p>
    <w:p w14:paraId="4CA5EF38"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 xml:space="preserve">ДДС </w:t>
      </w:r>
      <w:r w:rsidRPr="003474BD">
        <w:rPr>
          <w:rFonts w:eastAsia="Verdana"/>
          <w:lang w:eastAsia="de-AT"/>
        </w:rPr>
        <w:t>– данък добавена стойност</w:t>
      </w:r>
    </w:p>
    <w:p w14:paraId="14D71C93" w14:textId="77777777" w:rsidR="00C12B22" w:rsidRPr="003474BD" w:rsidRDefault="00C12B22" w:rsidP="00C12B22">
      <w:pPr>
        <w:spacing w:before="120" w:after="120" w:line="312" w:lineRule="auto"/>
        <w:jc w:val="both"/>
        <w:rPr>
          <w:rFonts w:eastAsiaTheme="minorHAnsi"/>
          <w:color w:val="000000" w:themeColor="text1"/>
          <w:lang w:eastAsia="en-US"/>
        </w:rPr>
      </w:pPr>
      <w:r w:rsidRPr="003474BD">
        <w:rPr>
          <w:rFonts w:eastAsiaTheme="minorHAnsi"/>
          <w:b/>
          <w:bCs/>
          <w:color w:val="000000" w:themeColor="text1"/>
          <w:lang w:eastAsia="en-US"/>
        </w:rPr>
        <w:t>ДМА</w:t>
      </w:r>
      <w:r w:rsidRPr="003474BD">
        <w:rPr>
          <w:rFonts w:eastAsiaTheme="minorHAnsi"/>
          <w:color w:val="000000" w:themeColor="text1"/>
          <w:lang w:eastAsia="en-US"/>
        </w:rPr>
        <w:t xml:space="preserve"> </w:t>
      </w:r>
      <w:r w:rsidRPr="003474BD">
        <w:rPr>
          <w:rFonts w:eastAsiaTheme="minorHAnsi"/>
          <w:lang w:eastAsia="en-US"/>
        </w:rPr>
        <w:t>–</w:t>
      </w:r>
      <w:r w:rsidRPr="003474BD">
        <w:rPr>
          <w:rFonts w:eastAsiaTheme="minorHAnsi"/>
          <w:color w:val="000000" w:themeColor="text1"/>
          <w:lang w:eastAsia="en-US"/>
        </w:rPr>
        <w:t xml:space="preserve"> дълготрайни материални активи</w:t>
      </w:r>
    </w:p>
    <w:p w14:paraId="1B6FF617" w14:textId="77777777" w:rsidR="00C12B22" w:rsidRPr="003474BD" w:rsidRDefault="00C12B22" w:rsidP="00C12B22">
      <w:pPr>
        <w:spacing w:before="120" w:after="120" w:line="312" w:lineRule="auto"/>
        <w:jc w:val="both"/>
        <w:rPr>
          <w:rFonts w:eastAsiaTheme="minorHAnsi"/>
          <w:color w:val="000000" w:themeColor="text1"/>
          <w:lang w:eastAsia="en-US"/>
        </w:rPr>
      </w:pPr>
      <w:r w:rsidRPr="003474BD">
        <w:rPr>
          <w:rFonts w:eastAsiaTheme="minorHAnsi"/>
          <w:b/>
          <w:bCs/>
          <w:color w:val="000000" w:themeColor="text1"/>
          <w:lang w:eastAsia="en-US"/>
        </w:rPr>
        <w:lastRenderedPageBreak/>
        <w:t xml:space="preserve">ДНА </w:t>
      </w:r>
      <w:r w:rsidRPr="003474BD">
        <w:rPr>
          <w:rFonts w:eastAsiaTheme="minorHAnsi"/>
          <w:lang w:eastAsia="en-US"/>
        </w:rPr>
        <w:t>–</w:t>
      </w:r>
      <w:r w:rsidRPr="003474BD">
        <w:rPr>
          <w:rFonts w:eastAsiaTheme="minorHAnsi"/>
          <w:color w:val="000000" w:themeColor="text1"/>
          <w:lang w:eastAsia="en-US"/>
        </w:rPr>
        <w:t xml:space="preserve"> дълготрайни нематериални активи</w:t>
      </w:r>
    </w:p>
    <w:p w14:paraId="31409D28"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 xml:space="preserve">ЕС </w:t>
      </w:r>
      <w:r w:rsidRPr="003474BD">
        <w:rPr>
          <w:rFonts w:eastAsia="Verdana"/>
          <w:lang w:eastAsia="de-AT"/>
        </w:rPr>
        <w:t>– Европейски съюз</w:t>
      </w:r>
    </w:p>
    <w:p w14:paraId="790413F5" w14:textId="02735F51" w:rsidR="00A3753F" w:rsidRPr="003474BD" w:rsidRDefault="00A3753F" w:rsidP="00C12B22">
      <w:pPr>
        <w:spacing w:before="240" w:after="60" w:line="280" w:lineRule="atLeast"/>
        <w:jc w:val="both"/>
        <w:rPr>
          <w:rFonts w:eastAsia="Verdana"/>
          <w:lang w:eastAsia="de-AT"/>
        </w:rPr>
      </w:pPr>
      <w:r w:rsidRPr="00E57C4A">
        <w:rPr>
          <w:rFonts w:eastAsia="Verdana"/>
          <w:b/>
          <w:bCs/>
          <w:lang w:eastAsia="de-AT"/>
        </w:rPr>
        <w:t>ЕСО</w:t>
      </w:r>
      <w:r w:rsidRPr="003474BD">
        <w:rPr>
          <w:rFonts w:eastAsia="Verdana"/>
          <w:lang w:eastAsia="de-AT"/>
        </w:rPr>
        <w:t xml:space="preserve"> – ЕЛЕКТРОЕНЕРГИЕН СИСТЕМЕН ОПЕРАТОР ЕАД, ЕИК 175201304, </w:t>
      </w:r>
    </w:p>
    <w:p w14:paraId="16D9E857" w14:textId="77777777" w:rsidR="00C12B22" w:rsidRPr="003474BD" w:rsidRDefault="00C12B22" w:rsidP="00C12B22">
      <w:pPr>
        <w:spacing w:before="240" w:after="60" w:line="280" w:lineRule="atLeast"/>
        <w:jc w:val="both"/>
        <w:rPr>
          <w:rFonts w:eastAsia="Verdana"/>
          <w:b/>
          <w:bCs/>
          <w:lang w:eastAsia="de-AT"/>
        </w:rPr>
      </w:pPr>
      <w:r w:rsidRPr="003474BD">
        <w:rPr>
          <w:rFonts w:eastAsia="Verdana"/>
          <w:b/>
          <w:bCs/>
          <w:lang w:eastAsia="de-AT"/>
        </w:rPr>
        <w:t xml:space="preserve">ЗБР – </w:t>
      </w:r>
      <w:r w:rsidRPr="003474BD">
        <w:rPr>
          <w:rFonts w:eastAsia="Verdana"/>
          <w:color w:val="000000" w:themeColor="text1"/>
          <w:lang w:eastAsia="de-AT"/>
        </w:rPr>
        <w:t>Закон за биологичното разнообразие</w:t>
      </w:r>
    </w:p>
    <w:p w14:paraId="40B31F28" w14:textId="77777777" w:rsidR="00C12B22" w:rsidRPr="003474BD" w:rsidRDefault="00C12B22" w:rsidP="00C12B22">
      <w:pPr>
        <w:spacing w:before="240" w:after="60" w:line="280" w:lineRule="atLeast"/>
        <w:jc w:val="both"/>
        <w:rPr>
          <w:rFonts w:eastAsia="Verdana"/>
          <w:b/>
          <w:bCs/>
          <w:lang w:eastAsia="de-AT"/>
        </w:rPr>
      </w:pPr>
      <w:r w:rsidRPr="003474BD">
        <w:rPr>
          <w:rFonts w:eastAsia="Verdana"/>
          <w:b/>
          <w:bCs/>
          <w:lang w:eastAsia="de-AT"/>
        </w:rPr>
        <w:t xml:space="preserve">ЗЕ – </w:t>
      </w:r>
      <w:r w:rsidRPr="003474BD">
        <w:rPr>
          <w:rFonts w:eastAsia="Verdana"/>
          <w:color w:val="000000" w:themeColor="text1"/>
          <w:lang w:eastAsia="de-AT"/>
        </w:rPr>
        <w:t>Закона за енергетиката</w:t>
      </w:r>
    </w:p>
    <w:p w14:paraId="32BF1B4C"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ЗЕВИ</w:t>
      </w:r>
      <w:r w:rsidRPr="003474BD">
        <w:rPr>
          <w:rFonts w:eastAsia="Verdana"/>
          <w:lang w:eastAsia="de-AT"/>
        </w:rPr>
        <w:t xml:space="preserve"> – Закон за енергията от възобновяеми източници</w:t>
      </w:r>
    </w:p>
    <w:p w14:paraId="6886FD50" w14:textId="77777777" w:rsidR="00C12B22" w:rsidRPr="003474BD" w:rsidRDefault="00C12B22" w:rsidP="00C12B22">
      <w:pPr>
        <w:spacing w:before="240" w:after="60" w:line="280" w:lineRule="atLeast"/>
        <w:jc w:val="both"/>
        <w:rPr>
          <w:rFonts w:eastAsia="Verdana"/>
          <w:color w:val="000000" w:themeColor="text1"/>
          <w:lang w:eastAsia="de-AT"/>
        </w:rPr>
      </w:pPr>
      <w:r w:rsidRPr="003474BD">
        <w:rPr>
          <w:rFonts w:eastAsia="Verdana"/>
          <w:b/>
          <w:bCs/>
          <w:color w:val="000000" w:themeColor="text1"/>
          <w:lang w:eastAsia="de-AT"/>
        </w:rPr>
        <w:t>ЗООС</w:t>
      </w:r>
      <w:r w:rsidRPr="003474BD">
        <w:rPr>
          <w:rFonts w:eastAsia="Verdana"/>
          <w:color w:val="000000" w:themeColor="text1"/>
          <w:lang w:eastAsia="de-AT"/>
        </w:rPr>
        <w:t xml:space="preserve"> – Закон за опазване на околната среда</w:t>
      </w:r>
    </w:p>
    <w:p w14:paraId="1DB0C393" w14:textId="77777777" w:rsidR="00C12B22" w:rsidRPr="003474BD" w:rsidRDefault="00C12B22" w:rsidP="00C12B22">
      <w:pPr>
        <w:spacing w:before="240" w:after="60" w:line="280" w:lineRule="atLeast"/>
        <w:jc w:val="both"/>
        <w:rPr>
          <w:rFonts w:eastAsia="Verdana"/>
          <w:b/>
          <w:bCs/>
          <w:color w:val="000000" w:themeColor="text1"/>
          <w:lang w:eastAsia="de-AT"/>
        </w:rPr>
      </w:pPr>
      <w:r w:rsidRPr="003474BD">
        <w:rPr>
          <w:rFonts w:eastAsia="Verdana"/>
          <w:b/>
          <w:bCs/>
          <w:lang w:eastAsia="de-AT"/>
        </w:rPr>
        <w:t>ЗОП</w:t>
      </w:r>
      <w:r w:rsidRPr="003474BD">
        <w:rPr>
          <w:rFonts w:eastAsia="Verdana"/>
          <w:lang w:eastAsia="de-AT"/>
        </w:rPr>
        <w:t xml:space="preserve"> – Закон за обществените поръчки</w:t>
      </w:r>
      <w:r w:rsidRPr="003474BD">
        <w:rPr>
          <w:rFonts w:eastAsia="Verdana"/>
          <w:b/>
          <w:bCs/>
          <w:color w:val="000000" w:themeColor="text1"/>
          <w:lang w:eastAsia="de-AT"/>
        </w:rPr>
        <w:t xml:space="preserve"> </w:t>
      </w:r>
    </w:p>
    <w:p w14:paraId="214BAC41"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color w:val="000000" w:themeColor="text1"/>
          <w:lang w:eastAsia="de-AT"/>
        </w:rPr>
        <w:t>ЗУО</w:t>
      </w:r>
      <w:r w:rsidRPr="003474BD">
        <w:rPr>
          <w:rFonts w:eastAsia="Verdana"/>
          <w:color w:val="000000" w:themeColor="text1"/>
          <w:lang w:eastAsia="de-AT"/>
        </w:rPr>
        <w:t xml:space="preserve"> – Закон за управление на отпадъците</w:t>
      </w:r>
    </w:p>
    <w:p w14:paraId="6F1C08E3" w14:textId="77777777" w:rsidR="00C12B22" w:rsidRPr="003474BD" w:rsidRDefault="00C12B22" w:rsidP="00C12B22">
      <w:pPr>
        <w:spacing w:before="240" w:after="60" w:line="280" w:lineRule="atLeast"/>
        <w:jc w:val="both"/>
        <w:rPr>
          <w:rFonts w:eastAsia="Verdana"/>
          <w:b/>
          <w:bCs/>
          <w:lang w:eastAsia="de-AT"/>
        </w:rPr>
      </w:pPr>
      <w:r w:rsidRPr="003474BD">
        <w:rPr>
          <w:rFonts w:eastAsia="Verdana"/>
          <w:b/>
          <w:bCs/>
          <w:lang w:eastAsia="de-AT"/>
        </w:rPr>
        <w:t>ЗУТ</w:t>
      </w:r>
      <w:r w:rsidRPr="003474BD">
        <w:rPr>
          <w:rFonts w:eastAsia="Verdana"/>
          <w:lang w:eastAsia="de-AT"/>
        </w:rPr>
        <w:t xml:space="preserve"> – Закон за устройство на територията</w:t>
      </w:r>
    </w:p>
    <w:p w14:paraId="218DCD0D"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ЗДП</w:t>
      </w:r>
      <w:r w:rsidRPr="003474BD">
        <w:rPr>
          <w:rFonts w:eastAsia="Verdana"/>
          <w:lang w:eastAsia="de-AT"/>
        </w:rPr>
        <w:t xml:space="preserve"> – Закон за държавните помощи</w:t>
      </w:r>
    </w:p>
    <w:p w14:paraId="58002471"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ИСМ</w:t>
      </w:r>
      <w:r w:rsidRPr="003474BD">
        <w:rPr>
          <w:rFonts w:eastAsia="Verdana"/>
          <w:lang w:eastAsia="de-AT"/>
        </w:rPr>
        <w:t xml:space="preserve"> – Информационна система за Механизма </w:t>
      </w:r>
    </w:p>
    <w:p w14:paraId="1882F026"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ИСУН 2020</w:t>
      </w:r>
      <w:r w:rsidRPr="003474BD">
        <w:rPr>
          <w:rFonts w:eastAsia="Verdana"/>
          <w:lang w:eastAsia="de-AT"/>
        </w:rPr>
        <w:t xml:space="preserve"> – Информационна система за управление и наблюдение на средствата от ЕС в България 2020</w:t>
      </w:r>
    </w:p>
    <w:p w14:paraId="7243A743" w14:textId="1588DB14" w:rsidR="00C12B22" w:rsidRPr="003474BD" w:rsidRDefault="00C12B22" w:rsidP="00C12B22">
      <w:pPr>
        <w:spacing w:before="240" w:after="60" w:line="280" w:lineRule="atLeast"/>
        <w:jc w:val="both"/>
        <w:rPr>
          <w:rFonts w:eastAsia="Verdana"/>
          <w:color w:val="000000" w:themeColor="text1"/>
          <w:lang w:eastAsia="de-AT"/>
        </w:rPr>
      </w:pPr>
      <w:r w:rsidRPr="003474BD">
        <w:rPr>
          <w:rFonts w:eastAsia="Verdana"/>
          <w:b/>
          <w:bCs/>
          <w:lang w:eastAsia="de-AT"/>
        </w:rPr>
        <w:t>КЕВР</w:t>
      </w:r>
      <w:r w:rsidRPr="003474BD">
        <w:rPr>
          <w:rFonts w:eastAsia="Verdana"/>
          <w:lang w:eastAsia="de-AT"/>
        </w:rPr>
        <w:t xml:space="preserve"> – </w:t>
      </w:r>
      <w:r w:rsidRPr="003474BD">
        <w:rPr>
          <w:rFonts w:eastAsia="Verdana"/>
          <w:color w:val="000000" w:themeColor="text1"/>
          <w:lang w:eastAsia="de-AT"/>
        </w:rPr>
        <w:t>Комисия за енергийно и водно регулиране</w:t>
      </w:r>
    </w:p>
    <w:p w14:paraId="28749DCB"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color w:val="000000" w:themeColor="text1"/>
          <w:lang w:eastAsia="de-AT"/>
        </w:rPr>
        <w:t>КЕП</w:t>
      </w:r>
      <w:r w:rsidRPr="003474BD">
        <w:rPr>
          <w:rFonts w:eastAsia="Verdana"/>
          <w:color w:val="000000" w:themeColor="text1"/>
          <w:lang w:eastAsia="de-AT"/>
        </w:rPr>
        <w:t xml:space="preserve"> </w:t>
      </w:r>
      <w:r w:rsidRPr="003474BD">
        <w:rPr>
          <w:rFonts w:eastAsia="Verdana"/>
          <w:lang w:eastAsia="de-AT"/>
        </w:rPr>
        <w:t>– Квалифициран електронен подпис издаден от доставчик на квалифицирани електронни удостоверителни услуги по смисъла на чл. 3, параграф 20) от Регламент (ЕС) № 910/2014</w:t>
      </w:r>
    </w:p>
    <w:p w14:paraId="3AE7E2D2"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МЕ</w:t>
      </w:r>
      <w:r w:rsidRPr="003474BD">
        <w:rPr>
          <w:rFonts w:eastAsia="Verdana"/>
          <w:lang w:eastAsia="de-AT"/>
        </w:rPr>
        <w:t xml:space="preserve"> – Министерство на енергетиката</w:t>
      </w:r>
    </w:p>
    <w:p w14:paraId="6CF5629C"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Механизъм/МВУ</w:t>
      </w:r>
      <w:r w:rsidRPr="003474BD">
        <w:rPr>
          <w:rFonts w:eastAsia="Verdana"/>
          <w:lang w:eastAsia="de-AT"/>
        </w:rPr>
        <w:t xml:space="preserve"> – Механизъм за възстановяване и устойчивост</w:t>
      </w:r>
    </w:p>
    <w:p w14:paraId="1CD4F016"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МСП</w:t>
      </w:r>
      <w:r w:rsidRPr="003474BD">
        <w:rPr>
          <w:rFonts w:eastAsia="Verdana"/>
          <w:lang w:eastAsia="de-AT"/>
        </w:rPr>
        <w:t xml:space="preserve"> – малко и средно предприятие</w:t>
      </w:r>
    </w:p>
    <w:p w14:paraId="300B47BF" w14:textId="77777777" w:rsidR="00C12B22" w:rsidRPr="003474BD" w:rsidRDefault="00C12B22" w:rsidP="00C12B22">
      <w:pPr>
        <w:spacing w:before="240" w:after="60" w:line="280" w:lineRule="atLeast"/>
        <w:jc w:val="both"/>
        <w:rPr>
          <w:rFonts w:eastAsia="Verdana"/>
          <w:lang w:eastAsia="de-AT"/>
        </w:rPr>
      </w:pPr>
      <w:r w:rsidRPr="003474BD">
        <w:rPr>
          <w:rFonts w:eastAsia="Verdana"/>
          <w:b/>
          <w:bCs/>
          <w:lang w:eastAsia="de-AT"/>
        </w:rPr>
        <w:t>НПВУ</w:t>
      </w:r>
      <w:r w:rsidRPr="003474BD">
        <w:rPr>
          <w:rFonts w:eastAsia="Verdana"/>
          <w:lang w:eastAsia="de-AT"/>
        </w:rPr>
        <w:t xml:space="preserve"> – Национален план за възстановяване и устойчивост на Република България</w:t>
      </w:r>
    </w:p>
    <w:p w14:paraId="3BCC365D" w14:textId="77777777" w:rsidR="00C12B22" w:rsidRPr="003474BD" w:rsidRDefault="00C12B22" w:rsidP="00C12B22">
      <w:pPr>
        <w:spacing w:before="240" w:after="60" w:line="280" w:lineRule="atLeast"/>
        <w:jc w:val="both"/>
        <w:rPr>
          <w:rFonts w:eastAsia="Verdana"/>
          <w:color w:val="000000" w:themeColor="text1"/>
          <w:lang w:eastAsia="de-AT"/>
        </w:rPr>
      </w:pPr>
      <w:r w:rsidRPr="003474BD">
        <w:rPr>
          <w:rFonts w:eastAsia="Verdana"/>
          <w:b/>
          <w:bCs/>
          <w:color w:val="000000" w:themeColor="text1"/>
          <w:lang w:eastAsia="de-AT"/>
        </w:rPr>
        <w:t>МПС №80/2022</w:t>
      </w:r>
      <w:r w:rsidRPr="003474BD">
        <w:rPr>
          <w:rFonts w:eastAsia="Verdana"/>
          <w:color w:val="000000" w:themeColor="text1"/>
          <w:lang w:eastAsia="de-AT"/>
        </w:rPr>
        <w:t xml:space="preserve"> – Постановление № 80 на МС от 09.05.2022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14:paraId="244E6EAB" w14:textId="77777777" w:rsidR="00C12B22" w:rsidRPr="003474BD" w:rsidRDefault="00C12B22" w:rsidP="00C12B22">
      <w:pPr>
        <w:spacing w:before="240" w:after="60" w:line="280" w:lineRule="atLeast"/>
        <w:jc w:val="both"/>
        <w:rPr>
          <w:rFonts w:eastAsia="Verdana"/>
          <w:color w:val="000000" w:themeColor="text1"/>
          <w:lang w:eastAsia="de-AT"/>
        </w:rPr>
      </w:pPr>
      <w:r w:rsidRPr="003474BD">
        <w:rPr>
          <w:rFonts w:eastAsia="Verdana"/>
          <w:b/>
          <w:bCs/>
          <w:color w:val="000000" w:themeColor="text1"/>
          <w:lang w:eastAsia="de-AT"/>
        </w:rPr>
        <w:t>ПМС №114/2022</w:t>
      </w:r>
      <w:r w:rsidRPr="003474BD">
        <w:rPr>
          <w:rFonts w:eastAsia="Verdana"/>
          <w:color w:val="000000" w:themeColor="text1"/>
          <w:lang w:eastAsia="de-AT"/>
        </w:rPr>
        <w:t xml:space="preserve"> – Постановление №114 на МС от 08.06.2022 г. за определяне на детайлни правила за предоставяне на средства на крайни получатели от Механизма за възстановяване и устойчивост</w:t>
      </w:r>
    </w:p>
    <w:p w14:paraId="281FEB39" w14:textId="77777777" w:rsidR="00C12B22" w:rsidRPr="003474BD" w:rsidRDefault="00C12B22" w:rsidP="00C12B22">
      <w:pPr>
        <w:spacing w:before="240" w:after="60" w:line="280" w:lineRule="atLeast"/>
        <w:jc w:val="both"/>
        <w:rPr>
          <w:rFonts w:eastAsia="Verdana"/>
          <w:b/>
          <w:bCs/>
          <w:lang w:eastAsia="de-AT"/>
        </w:rPr>
      </w:pPr>
      <w:r w:rsidRPr="003474BD">
        <w:rPr>
          <w:rFonts w:eastAsia="Verdana"/>
          <w:b/>
          <w:bCs/>
          <w:color w:val="000000" w:themeColor="text1"/>
          <w:lang w:eastAsia="de-AT"/>
        </w:rPr>
        <w:lastRenderedPageBreak/>
        <w:t xml:space="preserve">СМР </w:t>
      </w:r>
      <w:r w:rsidRPr="003474BD">
        <w:rPr>
          <w:rFonts w:eastAsia="Verdana"/>
          <w:lang w:eastAsia="de-AT"/>
        </w:rPr>
        <w:t>–</w:t>
      </w:r>
      <w:r w:rsidRPr="003474BD">
        <w:rPr>
          <w:rFonts w:eastAsia="Verdana"/>
          <w:color w:val="000000" w:themeColor="text1"/>
          <w:lang w:eastAsia="de-AT"/>
        </w:rPr>
        <w:t>строително-монтажни работи</w:t>
      </w:r>
    </w:p>
    <w:p w14:paraId="6B8FB4DC" w14:textId="123167B7" w:rsidR="00C12B22" w:rsidRPr="00E80CEA" w:rsidRDefault="00C12B22" w:rsidP="00C12B22">
      <w:pPr>
        <w:spacing w:before="240" w:after="60" w:line="280" w:lineRule="atLeast"/>
        <w:jc w:val="both"/>
        <w:rPr>
          <w:rFonts w:eastAsia="Verdana"/>
          <w:lang w:eastAsia="de-AT"/>
        </w:rPr>
      </w:pPr>
      <w:r w:rsidRPr="003474BD">
        <w:rPr>
          <w:rFonts w:eastAsia="Verdana"/>
          <w:b/>
          <w:bCs/>
          <w:lang w:eastAsia="de-AT"/>
        </w:rPr>
        <w:t>СНД</w:t>
      </w:r>
      <w:r w:rsidRPr="003474BD">
        <w:rPr>
          <w:rFonts w:eastAsia="Verdana"/>
          <w:lang w:eastAsia="de-AT"/>
        </w:rPr>
        <w:t xml:space="preserve"> – Министерство на енергетиката е </w:t>
      </w:r>
      <w:r w:rsidRPr="00E80CEA">
        <w:rPr>
          <w:rFonts w:eastAsia="Verdana"/>
          <w:lang w:eastAsia="de-AT"/>
        </w:rPr>
        <w:t xml:space="preserve">определено за структура за наблюдение и докладване </w:t>
      </w:r>
      <w:r w:rsidR="00E80CEA" w:rsidRPr="00E80CEA">
        <w:rPr>
          <w:rFonts w:eastAsia="Verdana"/>
          <w:lang w:eastAsia="de-AT"/>
        </w:rPr>
        <w:t>от Министерски съвет</w:t>
      </w:r>
      <w:r w:rsidRPr="00E80CEA">
        <w:rPr>
          <w:rFonts w:eastAsia="Verdana"/>
          <w:lang w:eastAsia="de-AT"/>
        </w:rPr>
        <w:t xml:space="preserve"> и е отговорно за изпълнението на инвестиция С4.I</w:t>
      </w:r>
      <w:r w:rsidR="00EB455F" w:rsidRPr="00E80CEA">
        <w:rPr>
          <w:rFonts w:eastAsia="Verdana"/>
          <w:lang w:eastAsia="de-AT"/>
        </w:rPr>
        <w:t>8</w:t>
      </w:r>
      <w:r w:rsidRPr="00E80CEA">
        <w:rPr>
          <w:rFonts w:eastAsia="Verdana"/>
          <w:lang w:eastAsia="de-AT"/>
        </w:rPr>
        <w:t>. (</w:t>
      </w:r>
      <w:r w:rsidR="00EB455F" w:rsidRPr="00E57C4A">
        <w:rPr>
          <w:rFonts w:eastAsia="Verdana"/>
          <w:lang w:eastAsia="de-AT"/>
        </w:rPr>
        <w:t>BG-RRP-4.0008 "</w:t>
      </w:r>
      <w:r w:rsidR="0037673D" w:rsidRPr="00E80CEA">
        <w:t xml:space="preserve"> </w:t>
      </w:r>
      <w:r w:rsidR="0037673D" w:rsidRPr="00E80CEA">
        <w:rPr>
          <w:rFonts w:eastAsia="Verdana"/>
          <w:lang w:eastAsia="de-AT"/>
        </w:rPr>
        <w:t>Национална инфраструктура за съхранение на електроенергия</w:t>
      </w:r>
      <w:r w:rsidR="0037673D" w:rsidRPr="00E57C4A" w:rsidDel="0037673D">
        <w:rPr>
          <w:rFonts w:eastAsia="Verdana"/>
          <w:lang w:eastAsia="de-AT"/>
        </w:rPr>
        <w:t xml:space="preserve"> </w:t>
      </w:r>
      <w:r w:rsidR="00FD50B9" w:rsidRPr="00FD50B9">
        <w:t>от възобновяеми източници</w:t>
      </w:r>
      <w:r w:rsidR="00FD50B9" w:rsidRPr="003474BD">
        <w:t xml:space="preserve"> </w:t>
      </w:r>
      <w:r w:rsidRPr="00E80CEA">
        <w:rPr>
          <w:rFonts w:eastAsia="Verdana"/>
          <w:lang w:eastAsia="de-AT"/>
        </w:rPr>
        <w:t>)</w:t>
      </w:r>
    </w:p>
    <w:p w14:paraId="73C4CA60" w14:textId="3981EEE4" w:rsidR="00B52C5B" w:rsidRPr="00E80CEA" w:rsidRDefault="00B52C5B" w:rsidP="00C12B22">
      <w:pPr>
        <w:spacing w:before="240" w:after="60" w:line="280" w:lineRule="atLeast"/>
        <w:jc w:val="both"/>
        <w:rPr>
          <w:rFonts w:eastAsia="Verdana"/>
          <w:lang w:eastAsia="de-AT"/>
        </w:rPr>
      </w:pPr>
      <w:r w:rsidRPr="00E57C4A">
        <w:rPr>
          <w:b/>
          <w:bCs/>
        </w:rPr>
        <w:t xml:space="preserve">Съоръжение за съхранение на електрическа енергия  </w:t>
      </w:r>
      <w:r w:rsidRPr="00E57C4A">
        <w:t>-</w:t>
      </w:r>
      <w:r w:rsidR="003E0CE6" w:rsidRPr="00E57C4A">
        <w:t xml:space="preserve"> </w:t>
      </w:r>
      <w:r w:rsidRPr="00E57C4A">
        <w:t xml:space="preserve">съоръжение в рамките на електроенергийната система, в което се съхранява </w:t>
      </w:r>
      <w:r w:rsidR="00D222BB" w:rsidRPr="00E57C4A">
        <w:t xml:space="preserve">електрическа </w:t>
      </w:r>
      <w:r w:rsidRPr="00E57C4A">
        <w:t>енергия, с изключение на съоръженията за съхранение на енергия за собствено потребление на производители или крайни клиенти, което не отдава съхранената електрическа енергия в електропреносната мрежа.</w:t>
      </w:r>
    </w:p>
    <w:p w14:paraId="031A3CE2" w14:textId="77777777" w:rsidR="00C12B22" w:rsidRPr="003474BD" w:rsidRDefault="00C12B22" w:rsidP="00C12B22">
      <w:pPr>
        <w:spacing w:before="240" w:after="60" w:line="280" w:lineRule="atLeast"/>
        <w:jc w:val="both"/>
        <w:rPr>
          <w:rFonts w:eastAsia="Verdana"/>
          <w:lang w:eastAsia="de-AT"/>
        </w:rPr>
      </w:pPr>
      <w:r w:rsidRPr="00E80CEA">
        <w:rPr>
          <w:rFonts w:eastAsia="Verdana"/>
          <w:b/>
          <w:bCs/>
          <w:lang w:eastAsia="de-AT"/>
        </w:rPr>
        <w:t>ТР и Регистър на ЮЛНЦ</w:t>
      </w:r>
      <w:r w:rsidRPr="00E80CEA">
        <w:rPr>
          <w:rFonts w:eastAsia="Verdana"/>
          <w:lang w:eastAsia="de-AT"/>
        </w:rPr>
        <w:t xml:space="preserve"> – Търговски регистър и регистър</w:t>
      </w:r>
      <w:r w:rsidRPr="003474BD">
        <w:rPr>
          <w:rFonts w:eastAsia="Verdana"/>
          <w:lang w:eastAsia="de-AT"/>
        </w:rPr>
        <w:t xml:space="preserve"> на юридическите лица с нестопанска цел или аналогичен регистър в държавата членка на Европейското икономическо пространство за чуждестранни юридически лица</w:t>
      </w:r>
    </w:p>
    <w:p w14:paraId="209E5F61" w14:textId="77777777" w:rsidR="00C12B22" w:rsidRPr="003474BD" w:rsidRDefault="00C12B22" w:rsidP="00C12B22">
      <w:pPr>
        <w:spacing w:before="240" w:after="60" w:line="280" w:lineRule="atLeast"/>
        <w:jc w:val="both"/>
        <w:rPr>
          <w:rFonts w:eastAsia="Verdana"/>
          <w:lang w:eastAsia="de-AT"/>
        </w:rPr>
      </w:pPr>
    </w:p>
    <w:p w14:paraId="6135A0BD" w14:textId="2ACD28A1" w:rsidR="00342016" w:rsidRPr="003474BD" w:rsidRDefault="00342016" w:rsidP="00C12B22">
      <w:pPr>
        <w:pStyle w:val="Stext"/>
        <w:suppressAutoHyphens/>
        <w:ind w:left="567" w:hanging="567"/>
        <w:rPr>
          <w:rFonts w:ascii="Times New Roman" w:hAnsi="Times New Roman" w:cs="Times New Roman"/>
          <w:sz w:val="24"/>
          <w:szCs w:val="24"/>
          <w:lang w:val="bg-BG"/>
        </w:rPr>
      </w:pPr>
    </w:p>
    <w:sectPr w:rsidR="00342016" w:rsidRPr="003474BD" w:rsidSect="005B3926">
      <w:headerReference w:type="even" r:id="rId12"/>
      <w:headerReference w:type="default" r:id="rId13"/>
      <w:footerReference w:type="even" r:id="rId14"/>
      <w:footerReference w:type="default" r:id="rId15"/>
      <w:headerReference w:type="first" r:id="rId16"/>
      <w:footerReference w:type="first" r:id="rId17"/>
      <w:pgSz w:w="11906" w:h="16838" w:code="9"/>
      <w:pgMar w:top="2268" w:right="1418" w:bottom="1418" w:left="1418" w:header="709" w:footer="720" w:gutter="0"/>
      <w:pgNumType w:start="1"/>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432AE97" w16cex:dateUtc="2024-06-17T13:14:00Z"/>
  <w16cex:commentExtensible w16cex:durableId="2A1BF3EC" w16cex:dateUtc="2024-06-18T08:54:00Z"/>
  <w16cex:commentExtensible w16cex:durableId="29E78770" w16cex:dateUtc="2024-05-09T14:33:00Z"/>
  <w16cex:commentExtensible w16cex:durableId="21CF5984" w16cex:dateUtc="2024-06-17T13:13:00Z"/>
  <w16cex:commentExtensible w16cex:durableId="2A1BF600" w16cex:dateUtc="2024-06-18T09:03:00Z"/>
  <w16cex:commentExtensible w16cex:durableId="2A1BF0B3" w16cex:dateUtc="2024-06-18T08:40:00Z"/>
  <w16cex:commentExtensible w16cex:durableId="2A1BFA42" w16cex:dateUtc="2024-06-18T09:21:00Z"/>
  <w16cex:commentExtensible w16cex:durableId="29DE1EF5" w16cex:dateUtc="2024-05-02T11:17:00Z"/>
  <w16cex:commentExtensible w16cex:durableId="2A16CA53" w16cex:dateUtc="2024-06-14T10:55:00Z"/>
  <w16cex:commentExtensible w16cex:durableId="2A16C8C8" w16cex:dateUtc="2024-06-14T10:48:00Z"/>
  <w16cex:commentExtensible w16cex:durableId="784FC780" w16cex:dateUtc="2024-06-17T13:56:00Z"/>
  <w16cex:commentExtensible w16cex:durableId="2A1D7E2E" w16cex:dateUtc="2024-06-19T12:56:00Z"/>
  <w16cex:commentExtensible w16cex:durableId="2A16CD98" w16cex:dateUtc="2024-06-14T11:09:00Z"/>
  <w16cex:commentExtensible w16cex:durableId="0D99CD94" w16cex:dateUtc="2024-06-17T14:02:00Z"/>
  <w16cex:commentExtensible w16cex:durableId="2A1C15AB" w16cex:dateUtc="2024-06-18T11:18:00Z"/>
  <w16cex:commentExtensible w16cex:durableId="2A1C15F1" w16cex:dateUtc="2024-06-18T11:19:00Z"/>
  <w16cex:commentExtensible w16cex:durableId="2A1D80CF" w16cex:dateUtc="2024-06-19T13:07:00Z"/>
  <w16cex:commentExtensible w16cex:durableId="715D14F4" w16cex:dateUtc="2024-06-17T14:23:00Z"/>
  <w16cex:commentExtensible w16cex:durableId="2A16EA74" w16cex:dateUtc="2024-06-14T1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54C22" w16cid:durableId="2A1D76EC"/>
  <w16cid:commentId w16cid:paraId="661A2A3E" w16cid:durableId="1432AE97"/>
  <w16cid:commentId w16cid:paraId="7BBF4501" w16cid:durableId="2A1BF3EC"/>
  <w16cid:commentId w16cid:paraId="1A0620DC" w16cid:durableId="29E78770"/>
  <w16cid:commentId w16cid:paraId="63DC96A9" w16cid:durableId="21CF5984"/>
  <w16cid:commentId w16cid:paraId="12BC4F4B" w16cid:durableId="2A1BF600"/>
  <w16cid:commentId w16cid:paraId="6A7E0434" w16cid:durableId="2A1BF0B3"/>
  <w16cid:commentId w16cid:paraId="32C475C5" w16cid:durableId="2A1BFA42"/>
  <w16cid:commentId w16cid:paraId="46025DB5" w16cid:durableId="2A1D76FE"/>
  <w16cid:commentId w16cid:paraId="078CBD4A" w16cid:durableId="29DE1EF5"/>
  <w16cid:commentId w16cid:paraId="0FE3C2C3" w16cid:durableId="2A16CA53"/>
  <w16cid:commentId w16cid:paraId="3DE0E8C3" w16cid:durableId="5112F287"/>
  <w16cid:commentId w16cid:paraId="4483B725" w16cid:durableId="2A16C8C8"/>
  <w16cid:commentId w16cid:paraId="04EFD931" w16cid:durableId="784FC780"/>
  <w16cid:commentId w16cid:paraId="0B89BBC9" w16cid:durableId="2A1D7E2E"/>
  <w16cid:commentId w16cid:paraId="0AD2196D" w16cid:durableId="2A16CD98"/>
  <w16cid:commentId w16cid:paraId="1B3CABDA" w16cid:durableId="1C91A4E0"/>
  <w16cid:commentId w16cid:paraId="0E975FF7" w16cid:durableId="0D99CD94"/>
  <w16cid:commentId w16cid:paraId="63D32D76" w16cid:durableId="2A1C15AB"/>
  <w16cid:commentId w16cid:paraId="5FD8C6B6" w16cid:durableId="2A1C15F1"/>
  <w16cid:commentId w16cid:paraId="7B21C12B" w16cid:durableId="2A1D7714"/>
  <w16cid:commentId w16cid:paraId="01121AF7" w16cid:durableId="2A1D80CF"/>
  <w16cid:commentId w16cid:paraId="677B219B" w16cid:durableId="715D14F4"/>
  <w16cid:commentId w16cid:paraId="762593DA" w16cid:durableId="2A16EA74"/>
  <w16cid:commentId w16cid:paraId="1E5737D6" w16cid:durableId="2A1D771D"/>
</w16cid:commentsIds>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205"/>
    </wne:keymap>
    <wne:keymap wne:kcmPrimary="0444">
      <wne:acd wne:acdName="acd207"/>
    </wne:keymap>
    <wne:keymap wne:kcmPrimary="0445">
      <wne:acd wne:acdName="acd212"/>
    </wne:keymap>
    <wne:keymap wne:kcmPrimary="0446">
      <wne:acd wne:acdName="acd208"/>
    </wne:keymap>
    <wne:keymap wne:kcmPrimary="0447">
      <wne:acd wne:acdName="acd209"/>
    </wne:keymap>
    <wne:keymap wne:kcmPrimary="0448">
      <wne:macro wne:macroName="PROJECT.ZY_90_RIBBON.SETLISTINGB"/>
    </wne:keymap>
    <wne:keymap wne:kcmPrimary="0449">
      <wne:acd wne:acdName="acd217"/>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218"/>
    </wne:keymap>
    <wne:keymap wne:kcmPrimary="0450">
      <wne:acd wne:acdName="acd219"/>
    </wne:keymap>
    <wne:keymap wne:kcmPrimary="0451">
      <wne:acd wne:acdName="acd210"/>
    </wne:keymap>
    <wne:keymap wne:kcmPrimary="0452">
      <wne:acd wne:acdName="acd213"/>
    </wne:keymap>
    <wne:keymap wne:kcmPrimary="0453">
      <wne:acd wne:acdName="acd206"/>
    </wne:keymap>
    <wne:keymap wne:kcmPrimary="0454">
      <wne:acd wne:acdName="acd214"/>
    </wne:keymap>
    <wne:keymap wne:kcmPrimary="0455">
      <wne:acd wne:acdName="acd216"/>
    </wne:keymap>
    <wne:keymap wne:kcmPrimary="0457">
      <wne:acd wne:acdName="acd211"/>
    </wne:keymap>
    <wne:keymap wne:kcmPrimary="0458">
      <wne:acd wne:acdName="acd220"/>
    </wne:keymap>
    <wne:keymap wne:kcmPrimary="0459">
      <wne:acd wne:acdName="acd204"/>
    </wne:keymap>
    <wne:keymap wne:kcmPrimary="045A">
      <wne:acd wne:acdName="acd215"/>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Entry wne:acdName="acd36"/>
      <wne:acdEntry wne:acdName="acd37"/>
      <wne:acdEntry wne:acdName="acd38"/>
      <wne:acdEntry wne:acdName="acd39"/>
      <wne:acdEntry wne:acdName="acd40"/>
      <wne:acdEntry wne:acdName="acd41"/>
      <wne:acdEntry wne:acdName="acd42"/>
      <wne:acdEntry wne:acdName="acd43"/>
      <wne:acdEntry wne:acdName="acd44"/>
      <wne:acdEntry wne:acdName="acd45"/>
      <wne:acdEntry wne:acdName="acd46"/>
      <wne:acdEntry wne:acdName="acd47"/>
      <wne:acdEntry wne:acdName="acd48"/>
      <wne:acdEntry wne:acdName="acd49"/>
      <wne:acdEntry wne:acdName="acd50"/>
      <wne:acdEntry wne:acdName="acd51"/>
      <wne:acdEntry wne:acdName="acd52"/>
      <wne:acdEntry wne:acdName="acd53"/>
      <wne:acdEntry wne:acdName="acd54"/>
      <wne:acdEntry wne:acdName="acd55"/>
      <wne:acdEntry wne:acdName="acd56"/>
      <wne:acdEntry wne:acdName="acd57"/>
      <wne:acdEntry wne:acdName="acd58"/>
      <wne:acdEntry wne:acdName="acd59"/>
      <wne:acdEntry wne:acdName="acd60"/>
      <wne:acdEntry wne:acdName="acd61"/>
      <wne:acdEntry wne:acdName="acd62"/>
      <wne:acdEntry wne:acdName="acd63"/>
      <wne:acdEntry wne:acdName="acd64"/>
      <wne:acdEntry wne:acdName="acd65"/>
      <wne:acdEntry wne:acdName="acd66"/>
      <wne:acdEntry wne:acdName="acd67"/>
      <wne:acdEntry wne:acdName="acd68"/>
      <wne:acdEntry wne:acdName="acd69"/>
      <wne:acdEntry wne:acdName="acd70"/>
      <wne:acdEntry wne:acdName="acd71"/>
      <wne:acdEntry wne:acdName="acd72"/>
      <wne:acdEntry wne:acdName="acd73"/>
      <wne:acdEntry wne:acdName="acd74"/>
      <wne:acdEntry wne:acdName="acd75"/>
      <wne:acdEntry wne:acdName="acd76"/>
      <wne:acdEntry wne:acdName="acd77"/>
      <wne:acdEntry wne:acdName="acd78"/>
      <wne:acdEntry wne:acdName="acd79"/>
      <wne:acdEntry wne:acdName="acd80"/>
      <wne:acdEntry wne:acdName="acd81"/>
      <wne:acdEntry wne:acdName="acd82"/>
      <wne:acdEntry wne:acdName="acd83"/>
      <wne:acdEntry wne:acdName="acd84"/>
      <wne:acdEntry wne:acdName="acd85"/>
      <wne:acdEntry wne:acdName="acd86"/>
      <wne:acdEntry wne:acdName="acd87"/>
      <wne:acdEntry wne:acdName="acd88"/>
      <wne:acdEntry wne:acdName="acd89"/>
      <wne:acdEntry wne:acdName="acd90"/>
      <wne:acdEntry wne:acdName="acd91"/>
      <wne:acdEntry wne:acdName="acd92"/>
      <wne:acdEntry wne:acdName="acd93"/>
      <wne:acdEntry wne:acdName="acd94"/>
      <wne:acdEntry wne:acdName="acd95"/>
      <wne:acdEntry wne:acdName="acd96"/>
      <wne:acdEntry wne:acdName="acd97"/>
      <wne:acdEntry wne:acdName="acd98"/>
      <wne:acdEntry wne:acdName="acd99"/>
      <wne:acdEntry wne:acdName="acd100"/>
      <wne:acdEntry wne:acdName="acd101"/>
      <wne:acdEntry wne:acdName="acd102"/>
      <wne:acdEntry wne:acdName="acd103"/>
      <wne:acdEntry wne:acdName="acd104"/>
      <wne:acdEntry wne:acdName="acd105"/>
      <wne:acdEntry wne:acdName="acd106"/>
      <wne:acdEntry wne:acdName="acd107"/>
      <wne:acdEntry wne:acdName="acd108"/>
      <wne:acdEntry wne:acdName="acd109"/>
      <wne:acdEntry wne:acdName="acd110"/>
      <wne:acdEntry wne:acdName="acd111"/>
      <wne:acdEntry wne:acdName="acd112"/>
      <wne:acdEntry wne:acdName="acd113"/>
      <wne:acdEntry wne:acdName="acd114"/>
      <wne:acdEntry wne:acdName="acd115"/>
      <wne:acdEntry wne:acdName="acd116"/>
      <wne:acdEntry wne:acdName="acd117"/>
      <wne:acdEntry wne:acdName="acd118"/>
      <wne:acdEntry wne:acdName="acd119"/>
      <wne:acdEntry wne:acdName="acd120"/>
      <wne:acdEntry wne:acdName="acd121"/>
      <wne:acdEntry wne:acdName="acd122"/>
      <wne:acdEntry wne:acdName="acd123"/>
      <wne:acdEntry wne:acdName="acd124"/>
      <wne:acdEntry wne:acdName="acd125"/>
      <wne:acdEntry wne:acdName="acd126"/>
      <wne:acdEntry wne:acdName="acd127"/>
      <wne:acdEntry wne:acdName="acd128"/>
      <wne:acdEntry wne:acdName="acd129"/>
      <wne:acdEntry wne:acdName="acd130"/>
      <wne:acdEntry wne:acdName="acd131"/>
      <wne:acdEntry wne:acdName="acd132"/>
      <wne:acdEntry wne:acdName="acd133"/>
      <wne:acdEntry wne:acdName="acd134"/>
      <wne:acdEntry wne:acdName="acd135"/>
      <wne:acdEntry wne:acdName="acd136"/>
      <wne:acdEntry wne:acdName="acd137"/>
      <wne:acdEntry wne:acdName="acd138"/>
      <wne:acdEntry wne:acdName="acd139"/>
      <wne:acdEntry wne:acdName="acd140"/>
      <wne:acdEntry wne:acdName="acd141"/>
      <wne:acdEntry wne:acdName="acd142"/>
      <wne:acdEntry wne:acdName="acd143"/>
      <wne:acdEntry wne:acdName="acd144"/>
      <wne:acdEntry wne:acdName="acd145"/>
      <wne:acdEntry wne:acdName="acd146"/>
      <wne:acdEntry wne:acdName="acd147"/>
      <wne:acdEntry wne:acdName="acd148"/>
      <wne:acdEntry wne:acdName="acd149"/>
      <wne:acdEntry wne:acdName="acd150"/>
      <wne:acdEntry wne:acdName="acd151"/>
      <wne:acdEntry wne:acdName="acd152"/>
      <wne:acdEntry wne:acdName="acd153"/>
      <wne:acdEntry wne:acdName="acd154"/>
      <wne:acdEntry wne:acdName="acd155"/>
      <wne:acdEntry wne:acdName="acd156"/>
      <wne:acdEntry wne:acdName="acd157"/>
      <wne:acdEntry wne:acdName="acd158"/>
      <wne:acdEntry wne:acdName="acd159"/>
      <wne:acdEntry wne:acdName="acd160"/>
      <wne:acdEntry wne:acdName="acd161"/>
      <wne:acdEntry wne:acdName="acd162"/>
      <wne:acdEntry wne:acdName="acd163"/>
      <wne:acdEntry wne:acdName="acd164"/>
      <wne:acdEntry wne:acdName="acd165"/>
      <wne:acdEntry wne:acdName="acd166"/>
      <wne:acdEntry wne:acdName="acd167"/>
      <wne:acdEntry wne:acdName="acd168"/>
      <wne:acdEntry wne:acdName="acd169"/>
      <wne:acdEntry wne:acdName="acd170"/>
      <wne:acdEntry wne:acdName="acd171"/>
      <wne:acdEntry wne:acdName="acd172"/>
      <wne:acdEntry wne:acdName="acd173"/>
      <wne:acdEntry wne:acdName="acd174"/>
      <wne:acdEntry wne:acdName="acd175"/>
      <wne:acdEntry wne:acdName="acd176"/>
      <wne:acdEntry wne:acdName="acd177"/>
      <wne:acdEntry wne:acdName="acd178"/>
      <wne:acdEntry wne:acdName="acd179"/>
      <wne:acdEntry wne:acdName="acd180"/>
      <wne:acdEntry wne:acdName="acd181"/>
      <wne:acdEntry wne:acdName="acd182"/>
      <wne:acdEntry wne:acdName="acd183"/>
      <wne:acdEntry wne:acdName="acd184"/>
      <wne:acdEntry wne:acdName="acd185"/>
      <wne:acdEntry wne:acdName="acd186"/>
      <wne:acdEntry wne:acdName="acd187"/>
      <wne:acdEntry wne:acdName="acd188"/>
      <wne:acdEntry wne:acdName="acd189"/>
      <wne:acdEntry wne:acdName="acd190"/>
      <wne:acdEntry wne:acdName="acd191"/>
      <wne:acdEntry wne:acdName="acd192"/>
      <wne:acdEntry wne:acdName="acd193"/>
      <wne:acdEntry wne:acdName="acd194"/>
      <wne:acdEntry wne:acdName="acd195"/>
      <wne:acdEntry wne:acdName="acd196"/>
      <wne:acdEntry wne:acdName="acd197"/>
      <wne:acdEntry wne:acdName="acd198"/>
      <wne:acdEntry wne:acdName="acd199"/>
      <wne:acdEntry wne:acdName="acd200"/>
      <wne:acdEntry wne:acdName="acd201"/>
      <wne:acdEntry wne:acdName="acd202"/>
      <wne:acdEntry wne:acdName="acd203"/>
      <wne:acdEntry wne:acdName="acd204"/>
      <wne:acdEntry wne:acdName="acd205"/>
      <wne:acdEntry wne:acdName="acd206"/>
      <wne:acdEntry wne:acdName="acd207"/>
      <wne:acdEntry wne:acdName="acd208"/>
      <wne:acdEntry wne:acdName="acd209"/>
      <wne:acdEntry wne:acdName="acd210"/>
      <wne:acdEntry wne:acdName="acd211"/>
      <wne:acdEntry wne:acdName="acd212"/>
      <wne:acdEntry wne:acdName="acd213"/>
      <wne:acdEntry wne:acdName="acd214"/>
      <wne:acdEntry wne:acdName="acd215"/>
      <wne:acdEntry wne:acdName="acd216"/>
      <wne:acdEntry wne:acdName="acd217"/>
      <wne:acdEntry wne:acdName="acd218"/>
      <wne:acdEntry wne:acdName="acd219"/>
      <wne:acdEntry wne:acdName="acd220"/>
    </wne:acdManifest>
  </wne:toolbars>
  <wne:acds>
    <wne:acd wne:acdName="acd0" wne:fciIndexBasedOn="0065"/>
    <wne:acd wne:acdName="acd1" wne:fciIndexBasedOn="0065"/>
    <wne:acd wne:acdName="acd2" wne:fciIndexBasedOn="0065"/>
    <wne:acd wne:acdName="acd3" wne:fciIndexBasedOn="0065"/>
    <wne:acd wne:acdName="acd4" wne:fciIndexBasedOn="0065"/>
    <wne:acd wne:acdName="acd5" wne:fciIndexBasedOn="0065"/>
    <wne:acd wne:acdName="acd6" wne:fciIndexBasedOn="0065"/>
    <wne:acd wne:acdName="acd7" wne:fciIndexBasedOn="0065"/>
    <wne:acd wne:acdName="acd8" wne:fciIndexBasedOn="0065"/>
    <wne:acd wne:acdName="acd9" wne:fciIndexBasedOn="0065"/>
    <wne:acd wne:acdName="acd10" wne:fciIndexBasedOn="0065"/>
    <wne:acd wne:acdName="acd11" wne:fciIndexBasedOn="0065"/>
    <wne:acd wne:acdName="acd12" wne:fciIndexBasedOn="0065"/>
    <wne:acd wne:acdName="acd13" wne:fciIndexBasedOn="0065"/>
    <wne:acd wne:acdName="acd14" wne:fciIndexBasedOn="0065"/>
    <wne:acd wne:acdName="acd15" wne:fciIndexBasedOn="0065"/>
    <wne:acd wne:acdName="acd16" wne:fciIndexBasedOn="0065"/>
    <wne:acd wne:acdName="acd17" wne:fciIndexBasedOn="0065"/>
    <wne:acd wne:acdName="acd18" wne:fciIndexBasedOn="0065"/>
    <wne:acd wne:acdName="acd19" wne:fciIndexBasedOn="0065"/>
    <wne:acd wne:acdName="acd20" wne:fciIndexBasedOn="0065"/>
    <wne:acd wne:acdName="acd21" wne:fciIndexBasedOn="0065"/>
    <wne:acd wne:acdName="acd22" wne:fciIndexBasedOn="0065"/>
    <wne:acd wne:acdName="acd23" wne:fciIndexBasedOn="0065"/>
    <wne:acd wne:acdName="acd24" wne:fciIndexBasedOn="0065"/>
    <wne:acd wne:acdName="acd25" wne:fciIndexBasedOn="0065"/>
    <wne:acd wne:acdName="acd26" wne:fciIndexBasedOn="0065"/>
    <wne:acd wne:acdName="acd27" wne:fciIndexBasedOn="0065"/>
    <wne:acd wne:acdName="acd28" wne:fciIndexBasedOn="0065"/>
    <wne:acd wne:acdName="acd29" wne:fciIndexBasedOn="0065"/>
    <wne:acd wne:acdName="acd30" wne:fciIndexBasedOn="0065"/>
    <wne:acd wne:acdName="acd31" wne:fciIndexBasedOn="0065"/>
    <wne:acd wne:acdName="acd32" wne:fciIndexBasedOn="0065"/>
    <wne:acd wne:acdName="acd33" wne:fciIndexBasedOn="0065"/>
    <wne:acd wne:acdName="acd34" wne:fciIndexBasedOn="0065"/>
    <wne:acd wne:acdName="acd35" wne:fciIndexBasedOn="0065"/>
    <wne:acd wne:acdName="acd36" wne:fciIndexBasedOn="0065"/>
    <wne:acd wne:acdName="acd37" wne:fciIndexBasedOn="0065"/>
    <wne:acd wne:acdName="acd38" wne:fciIndexBasedOn="0065"/>
    <wne:acd wne:acdName="acd39" wne:fciIndexBasedOn="0065"/>
    <wne:acd wne:acdName="acd40" wne:fciIndexBasedOn="0065"/>
    <wne:acd wne:acdName="acd41" wne:fciIndexBasedOn="0065"/>
    <wne:acd wne:acdName="acd42" wne:fciIndexBasedOn="0065"/>
    <wne:acd wne:acdName="acd43" wne:fciIndexBasedOn="0065"/>
    <wne:acd wne:acdName="acd44" wne:fciIndexBasedOn="0065"/>
    <wne:acd wne:acdName="acd45" wne:fciIndexBasedOn="0065"/>
    <wne:acd wne:acdName="acd46" wne:fciIndexBasedOn="0065"/>
    <wne:acd wne:acdName="acd47" wne:fciIndexBasedOn="0065"/>
    <wne:acd wne:acdName="acd48" wne:fciIndexBasedOn="0065"/>
    <wne:acd wne:acdName="acd49" wne:fciIndexBasedOn="0065"/>
    <wne:acd wne:acdName="acd50" wne:fciIndexBasedOn="0065"/>
    <wne:acd wne:acdName="acd51" wne:fciIndexBasedOn="0065"/>
    <wne:acd wne:acdName="acd52" wne:fciIndexBasedOn="0065"/>
    <wne:acd wne:acdName="acd53" wne:fciIndexBasedOn="0065"/>
    <wne:acd wne:acdName="acd54" wne:fciIndexBasedOn="0065"/>
    <wne:acd wne:acdName="acd55" wne:fciIndexBasedOn="0065"/>
    <wne:acd wne:acdName="acd56" wne:fciIndexBasedOn="0065"/>
    <wne:acd wne:acdName="acd57" wne:fciIndexBasedOn="0065"/>
    <wne:acd wne:acdName="acd58" wne:fciIndexBasedOn="0065"/>
    <wne:acd wne:acdName="acd59" wne:fciIndexBasedOn="0065"/>
    <wne:acd wne:acdName="acd60" wne:fciIndexBasedOn="0065"/>
    <wne:acd wne:acdName="acd61" wne:fciIndexBasedOn="0065"/>
    <wne:acd wne:acdName="acd62" wne:fciIndexBasedOn="0065"/>
    <wne:acd wne:acdName="acd63" wne:fciIndexBasedOn="0065"/>
    <wne:acd wne:acdName="acd64" wne:fciIndexBasedOn="0065"/>
    <wne:acd wne:acdName="acd65" wne:fciIndexBasedOn="0065"/>
    <wne:acd wne:acdName="acd66" wne:fciIndexBasedOn="0065"/>
    <wne:acd wne:acdName="acd67" wne:fciIndexBasedOn="0065"/>
    <wne:acd wne:acdName="acd68" wne:fciIndexBasedOn="0065"/>
    <wne:acd wne:acdName="acd69" wne:fciIndexBasedOn="0065"/>
    <wne:acd wne:acdName="acd70" wne:fciIndexBasedOn="0065"/>
    <wne:acd wne:acdName="acd71" wne:fciIndexBasedOn="0065"/>
    <wne:acd wne:acdName="acd72" wne:fciIndexBasedOn="0065"/>
    <wne:acd wne:acdName="acd73" wne:fciIndexBasedOn="0065"/>
    <wne:acd wne:acdName="acd74" wne:fciIndexBasedOn="0065"/>
    <wne:acd wne:acdName="acd75" wne:fciIndexBasedOn="0065"/>
    <wne:acd wne:acdName="acd76" wne:fciIndexBasedOn="0065"/>
    <wne:acd wne:acdName="acd77" wne:fciIndexBasedOn="0065"/>
    <wne:acd wne:acdName="acd78" wne:fciIndexBasedOn="0065"/>
    <wne:acd wne:acdName="acd79" wne:fciIndexBasedOn="0065"/>
    <wne:acd wne:acdName="acd80" wne:fciIndexBasedOn="0065"/>
    <wne:acd wne:acdName="acd81" wne:fciIndexBasedOn="0065"/>
    <wne:acd wne:acdName="acd82" wne:fciIndexBasedOn="0065"/>
    <wne:acd wne:acdName="acd83" wne:fciIndexBasedOn="0065"/>
    <wne:acd wne:acdName="acd84" wne:fciIndexBasedOn="0065"/>
    <wne:acd wne:acdName="acd85" wne:fciIndexBasedOn="0065"/>
    <wne:acd wne:acdName="acd86" wne:fciIndexBasedOn="0065"/>
    <wne:acd wne:acdName="acd87" wne:fciIndexBasedOn="0065"/>
    <wne:acd wne:acdName="acd88" wne:fciIndexBasedOn="0065"/>
    <wne:acd wne:acdName="acd89" wne:fciIndexBasedOn="0065"/>
    <wne:acd wne:acdName="acd90" wne:fciIndexBasedOn="0065"/>
    <wne:acd wne:acdName="acd91" wne:fciIndexBasedOn="0065"/>
    <wne:acd wne:acdName="acd92" wne:fciIndexBasedOn="0065"/>
    <wne:acd wne:acdName="acd93" wne:fciIndexBasedOn="0065"/>
    <wne:acd wne:acdName="acd94" wne:fciIndexBasedOn="0065"/>
    <wne:acd wne:acdName="acd95" wne:fciIndexBasedOn="0065"/>
    <wne:acd wne:acdName="acd96" wne:fciIndexBasedOn="0065"/>
    <wne:acd wne:acdName="acd97" wne:fciIndexBasedOn="0065"/>
    <wne:acd wne:acdName="acd98" wne:fciIndexBasedOn="0065"/>
    <wne:acd wne:acdName="acd99" wne:fciIndexBasedOn="0065"/>
    <wne:acd wne:acdName="acd100" wne:fciIndexBasedOn="0065"/>
    <wne:acd wne:acdName="acd101" wne:fciIndexBasedOn="0065"/>
    <wne:acd wne:acdName="acd102" wne:fciIndexBasedOn="0065"/>
    <wne:acd wne:acdName="acd103" wne:fciIndexBasedOn="0065"/>
    <wne:acd wne:acdName="acd104" wne:fciIndexBasedOn="0065"/>
    <wne:acd wne:acdName="acd105" wne:fciIndexBasedOn="0065"/>
    <wne:acd wne:acdName="acd106" wne:fciIndexBasedOn="0065"/>
    <wne:acd wne:acdName="acd107" wne:fciIndexBasedOn="0065"/>
    <wne:acd wne:acdName="acd108" wne:fciIndexBasedOn="0065"/>
    <wne:acd wne:acdName="acd109" wne:fciIndexBasedOn="0065"/>
    <wne:acd wne:acdName="acd110" wne:fciIndexBasedOn="0065"/>
    <wne:acd wne:acdName="acd111" wne:fciIndexBasedOn="0065"/>
    <wne:acd wne:acdName="acd112" wne:fciIndexBasedOn="0065"/>
    <wne:acd wne:acdName="acd113" wne:fciIndexBasedOn="0065"/>
    <wne:acd wne:acdName="acd114" wne:fciIndexBasedOn="0065"/>
    <wne:acd wne:acdName="acd115" wne:fciIndexBasedOn="0065"/>
    <wne:acd wne:acdName="acd116" wne:fciIndexBasedOn="0065"/>
    <wne:acd wne:acdName="acd117" wne:fciIndexBasedOn="0065"/>
    <wne:acd wne:acdName="acd118" wne:fciIndexBasedOn="0065"/>
    <wne:acd wne:acdName="acd119" wne:fciIndexBasedOn="0065"/>
    <wne:acd wne:acdName="acd120" wne:fciIndexBasedOn="0065"/>
    <wne:acd wne:acdName="acd121" wne:fciIndexBasedOn="0065"/>
    <wne:acd wne:acdName="acd122" wne:fciIndexBasedOn="0065"/>
    <wne:acd wne:acdName="acd123" wne:fciIndexBasedOn="0065"/>
    <wne:acd wne:acdName="acd124" wne:fciIndexBasedOn="0065"/>
    <wne:acd wne:acdName="acd125" wne:fciIndexBasedOn="0065"/>
    <wne:acd wne:acdName="acd126" wne:fciIndexBasedOn="0065"/>
    <wne:acd wne:acdName="acd127" wne:fciIndexBasedOn="0065"/>
    <wne:acd wne:acdName="acd128" wne:fciIndexBasedOn="0065"/>
    <wne:acd wne:acdName="acd129" wne:fciIndexBasedOn="0065"/>
    <wne:acd wne:acdName="acd130" wne:fciIndexBasedOn="0065"/>
    <wne:acd wne:acdName="acd131" wne:fciIndexBasedOn="0065"/>
    <wne:acd wne:acdName="acd132" wne:fciIndexBasedOn="0065"/>
    <wne:acd wne:acdName="acd133" wne:fciIndexBasedOn="0065"/>
    <wne:acd wne:acdName="acd134" wne:fciIndexBasedOn="0065"/>
    <wne:acd wne:acdName="acd135" wne:fciIndexBasedOn="0065"/>
    <wne:acd wne:acdName="acd136" wne:fciIndexBasedOn="0065"/>
    <wne:acd wne:acdName="acd137" wne:fciIndexBasedOn="0065"/>
    <wne:acd wne:acdName="acd138" wne:fciIndexBasedOn="0065"/>
    <wne:acd wne:acdName="acd139" wne:fciIndexBasedOn="0065"/>
    <wne:acd wne:acdName="acd140" wne:fciIndexBasedOn="0065"/>
    <wne:acd wne:acdName="acd141" wne:fciIndexBasedOn="0065"/>
    <wne:acd wne:acdName="acd142" wne:fciIndexBasedOn="0065"/>
    <wne:acd wne:acdName="acd143" wne:fciIndexBasedOn="0065"/>
    <wne:acd wne:acdName="acd144" wne:fciIndexBasedOn="0065"/>
    <wne:acd wne:acdName="acd145" wne:fciIndexBasedOn="0065"/>
    <wne:acd wne:acdName="acd146" wne:fciIndexBasedOn="0065"/>
    <wne:acd wne:acdName="acd147" wne:fciIndexBasedOn="0065"/>
    <wne:acd wne:acdName="acd148" wne:fciIndexBasedOn="0065"/>
    <wne:acd wne:acdName="acd149" wne:fciIndexBasedOn="0065"/>
    <wne:acd wne:acdName="acd150" wne:fciIndexBasedOn="0065"/>
    <wne:acd wne:acdName="acd151" wne:fciIndexBasedOn="0065"/>
    <wne:acd wne:acdName="acd152" wne:fciIndexBasedOn="0065"/>
    <wne:acd wne:acdName="acd153" wne:fciIndexBasedOn="0065"/>
    <wne:acd wne:acdName="acd154" wne:fciIndexBasedOn="0065"/>
    <wne:acd wne:acdName="acd155" wne:fciIndexBasedOn="0065"/>
    <wne:acd wne:acdName="acd156" wne:fciIndexBasedOn="0065"/>
    <wne:acd wne:acdName="acd157" wne:fciIndexBasedOn="0065"/>
    <wne:acd wne:acdName="acd158" wne:fciIndexBasedOn="0065"/>
    <wne:acd wne:acdName="acd159" wne:fciIndexBasedOn="0065"/>
    <wne:acd wne:acdName="acd160" wne:fciIndexBasedOn="0065"/>
    <wne:acd wne:acdName="acd161" wne:fciIndexBasedOn="0065"/>
    <wne:acd wne:acdName="acd162" wne:fciIndexBasedOn="0065"/>
    <wne:acd wne:acdName="acd163" wne:fciIndexBasedOn="0065"/>
    <wne:acd wne:acdName="acd164" wne:fciIndexBasedOn="0065"/>
    <wne:acd wne:acdName="acd165" wne:fciIndexBasedOn="0065"/>
    <wne:acd wne:acdName="acd166" wne:fciIndexBasedOn="0065"/>
    <wne:acd wne:acdName="acd167" wne:fciIndexBasedOn="0065"/>
    <wne:acd wne:acdName="acd168" wne:fciIndexBasedOn="0065"/>
    <wne:acd wne:acdName="acd169" wne:fciIndexBasedOn="0065"/>
    <wne:acd wne:acdName="acd170" wne:fciIndexBasedOn="0065"/>
    <wne:acd wne:acdName="acd171" wne:fciIndexBasedOn="0065"/>
    <wne:acd wne:acdName="acd172" wne:fciIndexBasedOn="0065"/>
    <wne:acd wne:acdName="acd173" wne:fciIndexBasedOn="0065"/>
    <wne:acd wne:acdName="acd174" wne:fciIndexBasedOn="0065"/>
    <wne:acd wne:acdName="acd175" wne:fciIndexBasedOn="0065"/>
    <wne:acd wne:acdName="acd176" wne:fciIndexBasedOn="0065"/>
    <wne:acd wne:acdName="acd177" wne:fciIndexBasedOn="0065"/>
    <wne:acd wne:acdName="acd178" wne:fciIndexBasedOn="0065"/>
    <wne:acd wne:acdName="acd179" wne:fciIndexBasedOn="0065"/>
    <wne:acd wne:acdName="acd180" wne:fciIndexBasedOn="0065"/>
    <wne:acd wne:acdName="acd181" wne:fciIndexBasedOn="0065"/>
    <wne:acd wne:acdName="acd182" wne:fciIndexBasedOn="0065"/>
    <wne:acd wne:acdName="acd183" wne:fciIndexBasedOn="0065"/>
    <wne:acd wne:acdName="acd184" wne:fciIndexBasedOn="0065"/>
    <wne:acd wne:acdName="acd185" wne:fciIndexBasedOn="0065"/>
    <wne:acd wne:acdName="acd186" wne:fciIndexBasedOn="0065"/>
    <wne:acd wne:acdName="acd187" wne:fciIndexBasedOn="0065"/>
    <wne:acd wne:acdName="acd188" wne:fciIndexBasedOn="0065"/>
    <wne:acd wne:acdName="acd189" wne:fciIndexBasedOn="0065"/>
    <wne:acd wne:acdName="acd190" wne:fciIndexBasedOn="0065"/>
    <wne:acd wne:acdName="acd191" wne:fciIndexBasedOn="0065"/>
    <wne:acd wne:acdName="acd192" wne:fciIndexBasedOn="0065"/>
    <wne:acd wne:acdName="acd193" wne:fciIndexBasedOn="0065"/>
    <wne:acd wne:acdName="acd194" wne:fciIndexBasedOn="0065"/>
    <wne:acd wne:acdName="acd195" wne:fciIndexBasedOn="0065"/>
    <wne:acd wne:acdName="acd196" wne:fciIndexBasedOn="0065"/>
    <wne:acd wne:acdName="acd197" wne:fciIndexBasedOn="0065"/>
    <wne:acd wne:acdName="acd198" wne:fciIndexBasedOn="0065"/>
    <wne:acd wne:acdName="acd199" wne:fciIndexBasedOn="0065"/>
    <wne:acd wne:acdName="acd200" wne:fciIndexBasedOn="0065"/>
    <wne:acd wne:acdName="acd201" wne:fciIndexBasedOn="0065"/>
    <wne:acd wne:acdName="acd202" wne:fciIndexBasedOn="0065"/>
    <wne:acd wne:acdName="acd203" wne:fciIndexBasedOn="0065"/>
    <wne:acd wne:argValue="AgBTAF8AdABlAHgAdABfAGEAcgBiAA==" wne:acdName="acd204" wne:fciIndexBasedOn="0065"/>
    <wne:acd wne:argValue="AgBTAF8AdABlAHgAdAAgADEAXwBhAHIAYgA=" wne:acdName="acd205" wne:fciIndexBasedOn="0065"/>
    <wne:acd wne:argValue="AgBTAF8AdABlAHgAdAAgADIAXwBhAHIAYgA=" wne:acdName="acd206" wne:fciIndexBasedOn="0065"/>
    <wne:acd wne:argValue="AgBTAF8AdABlAHgAdAAgADMAXwBhAHIAYgA=" wne:acdName="acd207" wne:fciIndexBasedOn="0065"/>
    <wne:acd wne:argValue="AgBTAF8AdABlAHgAdAAgADQAXwBhAHIAYgA=" wne:acdName="acd208" wne:fciIndexBasedOn="0065"/>
    <wne:acd wne:argValue="AgBTAF8AdABlAHgAdAAgADUAXwBhAHIAYgA=" wne:acdName="acd209" wne:fciIndexBasedOn="0065"/>
    <wne:acd wne:argValue="AgBTAF8AaABlAGEAZABpAG4AZwAgADEAXwBhAHIAYgA=" wne:acdName="acd210" wne:fciIndexBasedOn="0065"/>
    <wne:acd wne:argValue="AgBTAF8AaABlAGEAZABpAG4AZwAgADIAXwBhAHIAYgA=" wne:acdName="acd211" wne:fciIndexBasedOn="0065"/>
    <wne:acd wne:argValue="AgBTAF8AaABlAGEAZABpAG4AZwAgADMAXwBhAHIAYgA=" wne:acdName="acd212" wne:fciIndexBasedOn="0065"/>
    <wne:acd wne:argValue="AgBTAF8AaABlAGEAZABpAG4AZwAgADQAXwBhAHIAYgA=" wne:acdName="acd213" wne:fciIndexBasedOn="0065"/>
    <wne:acd wne:argValue="AgBTAF8AaABlAGEAZABpAG4AZwAgADUAXwBhAHIAYgA=" wne:acdName="acd214" wne:fciIndexBasedOn="0065"/>
    <wne:acd wne:argValue="AgBTAF8ATgB1AG0AYgBlAHIAZQBkACAAUABhAHIAYQBnAHIAYQBwAGgAIAAxAF8AYQByAGIA" wne:acdName="acd215" wne:fciIndexBasedOn="0065"/>
    <wne:acd wne:argValue="AgBTAF8ATgB1AG0AYgBlAHIAZQBkACAAUABhAHIAYQBnAHIAYQBwAGgAIAAyAF8AYQByAGIA" wne:acdName="acd216" wne:fciIndexBasedOn="0065"/>
    <wne:acd wne:argValue="AgBTAF8ATgB1AG0AYgBlAHIAZQBkACAAUABhAHIAYQBnAHIAYQBwAGgAIAAzAF8AYQByAGIA" wne:acdName="acd217" wne:fciIndexBasedOn="0065"/>
    <wne:acd wne:argValue="AgBTAF8ATgB1AG0AYgBlAHIAZQBkACAAUABhAHIAYQBnAHIAYQBwAGgAIAA0AF8AYQByAGIA" wne:acdName="acd218" wne:fciIndexBasedOn="0065"/>
    <wne:acd wne:argValue="AgBTAF8ATgB1AG0AYgBlAHIAZQBkACAAUABhAHIAYQBnAHIAYQBwAGgAIAA1AF8AYQByAGIA" wne:acdName="acd219" wne:fciIndexBasedOn="0065"/>
    <wne:acd wne:argValue="AgBTAF8AbQBhAHIAZwBpAG4AYQBsACAAbgB1AG0AYgBlAHIAXwBhAHIAYgA=" wne:acdName="acd22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1FCA8" w14:textId="77777777" w:rsidR="00A434FE" w:rsidRDefault="00A434FE">
      <w:pPr>
        <w:pStyle w:val="Stext"/>
      </w:pPr>
      <w:r>
        <w:separator/>
      </w:r>
    </w:p>
    <w:p w14:paraId="68869E68" w14:textId="77777777" w:rsidR="00A434FE" w:rsidRDefault="00A434FE">
      <w:pPr>
        <w:pStyle w:val="Stext"/>
      </w:pPr>
    </w:p>
    <w:p w14:paraId="0F77F2D8" w14:textId="77777777" w:rsidR="00A434FE" w:rsidRDefault="00A434FE">
      <w:pPr>
        <w:pStyle w:val="Stext"/>
      </w:pPr>
    </w:p>
    <w:p w14:paraId="07AC1400" w14:textId="77777777" w:rsidR="00A434FE" w:rsidRDefault="00A434FE">
      <w:pPr>
        <w:pStyle w:val="Stext"/>
      </w:pPr>
    </w:p>
  </w:endnote>
  <w:endnote w:type="continuationSeparator" w:id="0">
    <w:p w14:paraId="4EB7CEC9" w14:textId="77777777" w:rsidR="00A434FE" w:rsidRDefault="00A434FE">
      <w:pPr>
        <w:pStyle w:val="Stext"/>
      </w:pPr>
      <w:r>
        <w:continuationSeparator/>
      </w:r>
    </w:p>
    <w:p w14:paraId="7C84C890" w14:textId="77777777" w:rsidR="00A434FE" w:rsidRDefault="00A434FE">
      <w:pPr>
        <w:pStyle w:val="Stext"/>
      </w:pPr>
    </w:p>
    <w:p w14:paraId="0D0F2A76" w14:textId="77777777" w:rsidR="00A434FE" w:rsidRDefault="00A434FE">
      <w:pPr>
        <w:pStyle w:val="Stext"/>
      </w:pPr>
    </w:p>
    <w:p w14:paraId="19DCA4F2" w14:textId="77777777" w:rsidR="00A434FE" w:rsidRDefault="00A434FE">
      <w:pPr>
        <w:pStyle w:val="S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HelveticaNeueLT Pro 43 LtEx">
    <w:panose1 w:val="00000000000000000000"/>
    <w:charset w:val="00"/>
    <w:family w:val="swiss"/>
    <w:notTrueType/>
    <w:pitch w:val="variable"/>
    <w:sig w:usb0="800000AF" w:usb1="5000204A" w:usb2="00000000" w:usb3="00000000" w:csb0="0000009B"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FEAF0" w14:textId="77777777" w:rsidR="004007BA" w:rsidRDefault="004007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0ECCB" w14:textId="77777777" w:rsidR="004007BA" w:rsidRDefault="004007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FF4B0" w14:textId="77777777" w:rsidR="004007BA" w:rsidRDefault="00400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E4069" w14:textId="77777777" w:rsidR="00A434FE" w:rsidRDefault="00A434FE">
      <w:pPr>
        <w:pStyle w:val="Stext"/>
      </w:pPr>
      <w:r>
        <w:separator/>
      </w:r>
    </w:p>
  </w:footnote>
  <w:footnote w:type="continuationSeparator" w:id="0">
    <w:p w14:paraId="0F938328" w14:textId="77777777" w:rsidR="00A434FE" w:rsidRDefault="00A434FE">
      <w:pPr>
        <w:pStyle w:val="Stext"/>
      </w:pPr>
      <w:r>
        <w:continuationSeparator/>
      </w:r>
    </w:p>
  </w:footnote>
  <w:footnote w:type="continuationNotice" w:id="1">
    <w:p w14:paraId="153FF540" w14:textId="77777777" w:rsidR="00A434FE" w:rsidRPr="00E77452" w:rsidRDefault="00A434FE" w:rsidP="00BC0339">
      <w:pPr>
        <w:pStyle w:val="Stext"/>
      </w:pPr>
    </w:p>
  </w:footnote>
  <w:footnote w:id="2">
    <w:p w14:paraId="3D52066F" w14:textId="48B569F6" w:rsidR="004007BA" w:rsidRPr="00CD6DCD" w:rsidRDefault="004007BA">
      <w:pPr>
        <w:pStyle w:val="FootnoteText"/>
        <w:rPr>
          <w:rFonts w:ascii="Times New Roman" w:hAnsi="Times New Roman" w:cs="Times New Roman"/>
          <w:i/>
          <w:iCs/>
          <w:sz w:val="18"/>
          <w:szCs w:val="18"/>
          <w:lang w:val="bg-BG"/>
        </w:rPr>
      </w:pPr>
      <w:r w:rsidRPr="00CD6DCD">
        <w:rPr>
          <w:rStyle w:val="FootnoteReference"/>
          <w:rFonts w:ascii="Times New Roman" w:hAnsi="Times New Roman" w:cs="Times New Roman"/>
          <w:i/>
          <w:iCs/>
          <w:sz w:val="18"/>
          <w:szCs w:val="18"/>
        </w:rPr>
        <w:footnoteRef/>
      </w:r>
      <w:r w:rsidRPr="00CD6DCD">
        <w:rPr>
          <w:rFonts w:ascii="Times New Roman" w:hAnsi="Times New Roman" w:cs="Times New Roman"/>
          <w:i/>
          <w:iCs/>
          <w:sz w:val="18"/>
          <w:szCs w:val="18"/>
        </w:rPr>
        <w:t xml:space="preserve"> </w:t>
      </w:r>
      <w:r w:rsidRPr="00CD6DCD">
        <w:rPr>
          <w:rFonts w:ascii="Times New Roman" w:hAnsi="Times New Roman" w:cs="Times New Roman"/>
          <w:i/>
          <w:iCs/>
          <w:sz w:val="18"/>
          <w:szCs w:val="18"/>
          <w:lang w:val="bg-BG"/>
        </w:rPr>
        <w:t xml:space="preserve">След </w:t>
      </w:r>
      <w:r>
        <w:rPr>
          <w:rFonts w:ascii="Times New Roman" w:hAnsi="Times New Roman" w:cs="Times New Roman"/>
          <w:i/>
          <w:iCs/>
          <w:sz w:val="18"/>
          <w:szCs w:val="18"/>
          <w:lang w:val="bg-BG"/>
        </w:rPr>
        <w:t>постановление</w:t>
      </w:r>
      <w:r w:rsidRPr="00CD6DCD">
        <w:rPr>
          <w:rFonts w:ascii="Times New Roman" w:hAnsi="Times New Roman" w:cs="Times New Roman"/>
          <w:i/>
          <w:iCs/>
          <w:sz w:val="18"/>
          <w:szCs w:val="18"/>
          <w:lang w:val="bg-BG"/>
        </w:rPr>
        <w:t xml:space="preserve"> на Министерски</w:t>
      </w:r>
      <w:r>
        <w:rPr>
          <w:rFonts w:ascii="Times New Roman" w:hAnsi="Times New Roman" w:cs="Times New Roman"/>
          <w:i/>
          <w:iCs/>
          <w:sz w:val="18"/>
          <w:szCs w:val="18"/>
          <w:lang w:val="bg-BG"/>
        </w:rPr>
        <w:t>я</w:t>
      </w:r>
      <w:r w:rsidRPr="00CD6DCD">
        <w:rPr>
          <w:rFonts w:ascii="Times New Roman" w:hAnsi="Times New Roman" w:cs="Times New Roman"/>
          <w:i/>
          <w:iCs/>
          <w:sz w:val="18"/>
          <w:szCs w:val="18"/>
          <w:lang w:val="bg-BG"/>
        </w:rPr>
        <w:t xml:space="preserve"> съвет за промяна на </w:t>
      </w:r>
      <w:r>
        <w:rPr>
          <w:rFonts w:ascii="Times New Roman" w:hAnsi="Times New Roman" w:cs="Times New Roman"/>
          <w:i/>
          <w:iCs/>
          <w:sz w:val="18"/>
          <w:szCs w:val="18"/>
          <w:lang w:val="bg-BG"/>
        </w:rPr>
        <w:t>ПМС №157</w:t>
      </w:r>
      <w:r w:rsidRPr="00CD6DCD">
        <w:rPr>
          <w:rFonts w:ascii="Times New Roman" w:hAnsi="Times New Roman" w:cs="Times New Roman"/>
          <w:i/>
          <w:iCs/>
          <w:sz w:val="18"/>
          <w:szCs w:val="18"/>
          <w:lang w:val="bg-BG"/>
        </w:rPr>
        <w:t>.</w:t>
      </w:r>
    </w:p>
  </w:footnote>
  <w:footnote w:id="3">
    <w:p w14:paraId="6EAF47AC" w14:textId="591FE80C" w:rsidR="004007BA" w:rsidRPr="00E64AD0" w:rsidRDefault="004007BA" w:rsidP="003F1496">
      <w:pPr>
        <w:pStyle w:val="FootnoteText"/>
        <w:rPr>
          <w:rFonts w:ascii="Times New Roman" w:hAnsi="Times New Roman" w:cs="Times New Roman"/>
          <w:i/>
          <w:sz w:val="18"/>
          <w:lang w:val="bg-BG"/>
        </w:rPr>
      </w:pPr>
      <w:r w:rsidRPr="003E17E9">
        <w:rPr>
          <w:rStyle w:val="FootnoteReference"/>
          <w:i/>
          <w:sz w:val="18"/>
          <w:lang w:val="bg-BG"/>
        </w:rPr>
        <w:footnoteRef/>
      </w:r>
      <w:r w:rsidRPr="003E17E9">
        <w:rPr>
          <w:i/>
          <w:sz w:val="18"/>
          <w:lang w:val="bg-BG"/>
        </w:rPr>
        <w:t xml:space="preserve"> </w:t>
      </w:r>
      <w:r w:rsidRPr="009E39E4">
        <w:rPr>
          <w:rFonts w:ascii="Times New Roman" w:hAnsi="Times New Roman" w:cs="Times New Roman"/>
          <w:i/>
          <w:sz w:val="18"/>
          <w:lang w:val="bg-BG"/>
        </w:rPr>
        <w:t xml:space="preserve">Определение и допълнителна информация относно спазване на принципа за „ненанасяне на значителни вреди“ са налични в </w:t>
      </w:r>
      <w:r w:rsidRPr="00E57C4A">
        <w:rPr>
          <w:rFonts w:ascii="Times New Roman" w:hAnsi="Times New Roman" w:cs="Times New Roman"/>
          <w:i/>
          <w:sz w:val="18"/>
          <w:lang w:val="bg-BG"/>
        </w:rPr>
        <w:t xml:space="preserve">Приложение </w:t>
      </w:r>
      <w:r w:rsidRPr="00E57C4A">
        <w:rPr>
          <w:rFonts w:ascii="Times New Roman" w:hAnsi="Times New Roman" w:cs="Times New Roman"/>
          <w:i/>
          <w:sz w:val="18"/>
          <w:lang w:val="en-US"/>
        </w:rPr>
        <w:t>6</w:t>
      </w:r>
      <w:r w:rsidRPr="009E39E4">
        <w:rPr>
          <w:rFonts w:ascii="Times New Roman" w:hAnsi="Times New Roman" w:cs="Times New Roman"/>
          <w:i/>
          <w:sz w:val="18"/>
          <w:lang w:val="bg-BG"/>
        </w:rPr>
        <w:t xml:space="preserve"> към Условията за кандидатстване.</w:t>
      </w:r>
    </w:p>
  </w:footnote>
  <w:footnote w:id="4">
    <w:p w14:paraId="11D3324D" w14:textId="34F48F3F" w:rsidR="004007BA" w:rsidRPr="009E39E4" w:rsidRDefault="004007BA">
      <w:pPr>
        <w:pStyle w:val="FootnoteText"/>
        <w:rPr>
          <w:rFonts w:ascii="Times New Roman" w:hAnsi="Times New Roman" w:cs="Times New Roman"/>
          <w:i/>
          <w:sz w:val="18"/>
          <w:lang w:val="bg-BG"/>
        </w:rPr>
      </w:pPr>
      <w:r w:rsidRPr="009E39E4">
        <w:rPr>
          <w:rStyle w:val="FootnoteReference"/>
          <w:i/>
          <w:iCs/>
        </w:rPr>
        <w:footnoteRef/>
      </w:r>
      <w:r w:rsidRPr="009E39E4">
        <w:rPr>
          <w:i/>
          <w:iCs/>
        </w:rPr>
        <w:t xml:space="preserve"> </w:t>
      </w:r>
      <w:r>
        <w:rPr>
          <w:rFonts w:ascii="Times New Roman" w:hAnsi="Times New Roman" w:cs="Times New Roman"/>
          <w:i/>
          <w:sz w:val="18"/>
          <w:lang w:val="bg-BG"/>
        </w:rPr>
        <w:t>Инвестиции (</w:t>
      </w:r>
      <w:r w:rsidRPr="001E1B33">
        <w:rPr>
          <w:rFonts w:ascii="Times New Roman" w:hAnsi="Times New Roman" w:cs="Times New Roman"/>
          <w:i/>
          <w:sz w:val="18"/>
          <w:lang w:val="bg-BG"/>
        </w:rPr>
        <w:t>съоръжени</w:t>
      </w:r>
      <w:r>
        <w:rPr>
          <w:rFonts w:ascii="Times New Roman" w:hAnsi="Times New Roman" w:cs="Times New Roman"/>
          <w:i/>
          <w:sz w:val="18"/>
          <w:lang w:val="bg-BG"/>
        </w:rPr>
        <w:t>я</w:t>
      </w:r>
      <w:r w:rsidRPr="001E1B33">
        <w:rPr>
          <w:rFonts w:ascii="Times New Roman" w:hAnsi="Times New Roman" w:cs="Times New Roman"/>
          <w:i/>
          <w:sz w:val="18"/>
          <w:lang w:val="bg-BG"/>
        </w:rPr>
        <w:t xml:space="preserve"> за съхранение на електрическа енергия</w:t>
      </w:r>
      <w:r>
        <w:rPr>
          <w:rFonts w:ascii="Times New Roman" w:hAnsi="Times New Roman" w:cs="Times New Roman"/>
          <w:i/>
          <w:sz w:val="18"/>
          <w:lang w:val="bg-BG"/>
        </w:rPr>
        <w:t xml:space="preserve">), чиито </w:t>
      </w:r>
      <w:r>
        <w:rPr>
          <w:rFonts w:ascii="Times New Roman" w:hAnsi="Times New Roman" w:cs="Times New Roman"/>
          <w:i/>
          <w:iCs/>
          <w:sz w:val="18"/>
          <w:lang w:val="bg-BG"/>
        </w:rPr>
        <w:t>р</w:t>
      </w:r>
      <w:r w:rsidRPr="001E1B33">
        <w:rPr>
          <w:rFonts w:ascii="Times New Roman" w:hAnsi="Times New Roman" w:cs="Times New Roman"/>
          <w:i/>
          <w:iCs/>
          <w:sz w:val="18"/>
          <w:lang w:val="bg-BG"/>
        </w:rPr>
        <w:t>аботите</w:t>
      </w:r>
      <w:r w:rsidRPr="001E1B33">
        <w:rPr>
          <w:rFonts w:ascii="Times New Roman" w:hAnsi="Times New Roman" w:cs="Times New Roman"/>
          <w:i/>
          <w:sz w:val="18"/>
          <w:lang w:val="bg-BG"/>
        </w:rPr>
        <w:t xml:space="preserve"> са започнали на или след 9 март 2023, но съоръжението за съхранение на електрическа енергия не трябва да е въведено в експлоатация към датата на подаване на предложението за изпълнение на инвестиция. "Започване на работите" означава по-ранното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с който инвестицията става необратима. Закупуването на земя и подготвителните дейности, като получаването на разрешително и провеждането на предварителни проучвания за осъществимост, не се считат за започване на работите.</w:t>
      </w:r>
    </w:p>
  </w:footnote>
  <w:footnote w:id="5">
    <w:p w14:paraId="46609B8E" w14:textId="74BE6922" w:rsidR="004007BA" w:rsidRPr="004B686C" w:rsidRDefault="004007BA">
      <w:pPr>
        <w:pStyle w:val="FootnoteText"/>
        <w:rPr>
          <w:lang w:val="en-US"/>
        </w:rPr>
      </w:pPr>
      <w:r>
        <w:rPr>
          <w:rStyle w:val="FootnoteReference"/>
        </w:rPr>
        <w:footnoteRef/>
      </w:r>
      <w:r>
        <w:t xml:space="preserve"> </w:t>
      </w:r>
      <w:r w:rsidRPr="004B686C">
        <w:rPr>
          <w:rFonts w:ascii="Times New Roman" w:hAnsi="Times New Roman" w:cs="Times New Roman"/>
          <w:i/>
          <w:iCs/>
          <w:sz w:val="18"/>
          <w:szCs w:val="18"/>
          <w:lang w:val="bg-BG"/>
        </w:rPr>
        <w:t>Помощта ще се предостави след одобрение от Европейската комисия.</w:t>
      </w:r>
    </w:p>
  </w:footnote>
  <w:footnote w:id="6">
    <w:p w14:paraId="53506AAF" w14:textId="77777777" w:rsidR="004007BA" w:rsidRPr="004B686C" w:rsidRDefault="004007BA" w:rsidP="00A43A7A">
      <w:pPr>
        <w:pStyle w:val="FootnoteText"/>
        <w:rPr>
          <w:rFonts w:ascii="Times New Roman" w:hAnsi="Times New Roman" w:cs="Times New Roman"/>
          <w:i/>
          <w:iCs/>
          <w:sz w:val="18"/>
          <w:szCs w:val="18"/>
          <w:lang w:val="en-US"/>
        </w:rPr>
      </w:pPr>
      <w:r w:rsidRPr="004B686C">
        <w:rPr>
          <w:rStyle w:val="FootnoteReference"/>
          <w:rFonts w:ascii="Times New Roman" w:hAnsi="Times New Roman" w:cs="Times New Roman"/>
          <w:sz w:val="18"/>
          <w:szCs w:val="18"/>
        </w:rPr>
        <w:footnoteRef/>
      </w:r>
      <w:r w:rsidRPr="004B686C">
        <w:rPr>
          <w:rFonts w:ascii="Times New Roman" w:hAnsi="Times New Roman" w:cs="Times New Roman"/>
          <w:sz w:val="18"/>
          <w:szCs w:val="18"/>
          <w:lang w:val="en-US"/>
        </w:rPr>
        <w:t xml:space="preserve"> </w:t>
      </w:r>
      <w:r w:rsidRPr="004B686C">
        <w:rPr>
          <w:rFonts w:ascii="Times New Roman" w:hAnsi="Times New Roman" w:cs="Times New Roman"/>
          <w:i/>
          <w:iCs/>
          <w:sz w:val="18"/>
          <w:szCs w:val="18"/>
          <w:lang w:val="bg-BG"/>
        </w:rPr>
        <w:t xml:space="preserve">Съгласно раздел </w:t>
      </w:r>
      <w:r w:rsidRPr="004B686C">
        <w:rPr>
          <w:rFonts w:ascii="Times New Roman" w:hAnsi="Times New Roman" w:cs="Times New Roman"/>
          <w:i/>
          <w:iCs/>
          <w:sz w:val="18"/>
          <w:szCs w:val="18"/>
          <w:lang w:val="en-US"/>
        </w:rPr>
        <w:t xml:space="preserve">2.5.1, </w:t>
      </w:r>
      <w:r w:rsidRPr="004B686C">
        <w:rPr>
          <w:rFonts w:ascii="Times New Roman" w:hAnsi="Times New Roman" w:cs="Times New Roman"/>
          <w:i/>
          <w:iCs/>
          <w:sz w:val="18"/>
          <w:szCs w:val="18"/>
          <w:lang w:val="bg-BG"/>
        </w:rPr>
        <w:t xml:space="preserve">точка </w:t>
      </w:r>
      <w:r w:rsidRPr="004B686C">
        <w:rPr>
          <w:rFonts w:ascii="Times New Roman" w:hAnsi="Times New Roman" w:cs="Times New Roman"/>
          <w:i/>
          <w:iCs/>
          <w:sz w:val="18"/>
          <w:szCs w:val="18"/>
          <w:lang w:val="en-US"/>
        </w:rPr>
        <w:t>77(</w:t>
      </w:r>
      <w:r w:rsidRPr="004B686C">
        <w:rPr>
          <w:rFonts w:ascii="Times New Roman" w:hAnsi="Times New Roman" w:cs="Times New Roman"/>
          <w:i/>
          <w:iCs/>
          <w:sz w:val="18"/>
          <w:szCs w:val="18"/>
          <w:lang w:val="bg-BG"/>
        </w:rPr>
        <w:t>и</w:t>
      </w:r>
      <w:r w:rsidRPr="004B686C">
        <w:rPr>
          <w:rFonts w:ascii="Times New Roman" w:hAnsi="Times New Roman" w:cs="Times New Roman"/>
          <w:i/>
          <w:iCs/>
          <w:sz w:val="18"/>
          <w:szCs w:val="18"/>
          <w:lang w:val="en-US"/>
        </w:rPr>
        <w:t xml:space="preserve">)(i) </w:t>
      </w:r>
      <w:r w:rsidRPr="004B686C">
        <w:rPr>
          <w:rFonts w:ascii="Times New Roman" w:hAnsi="Times New Roman" w:cs="Times New Roman"/>
          <w:i/>
          <w:iCs/>
          <w:sz w:val="18"/>
          <w:szCs w:val="18"/>
          <w:lang w:val="bg-BG"/>
        </w:rPr>
        <w:t>ВРКП</w:t>
      </w:r>
      <w:r w:rsidRPr="004B686C">
        <w:rPr>
          <w:rFonts w:ascii="Times New Roman" w:hAnsi="Times New Roman" w:cs="Times New Roman"/>
          <w:i/>
          <w:iCs/>
          <w:sz w:val="18"/>
          <w:szCs w:val="18"/>
          <w:lang w:val="en-US"/>
        </w:rPr>
        <w:t>.</w:t>
      </w:r>
    </w:p>
  </w:footnote>
  <w:footnote w:id="7">
    <w:p w14:paraId="24B3CEC5" w14:textId="6E757FBF" w:rsidR="004007BA" w:rsidRPr="004B686C" w:rsidRDefault="004007BA" w:rsidP="00A43A7A">
      <w:pPr>
        <w:pStyle w:val="FootnoteText"/>
        <w:rPr>
          <w:rFonts w:ascii="Times New Roman" w:hAnsi="Times New Roman" w:cs="Times New Roman"/>
          <w:i/>
          <w:iCs/>
          <w:sz w:val="18"/>
          <w:szCs w:val="18"/>
          <w:lang w:val="en-US"/>
        </w:rPr>
      </w:pPr>
      <w:r w:rsidRPr="004B686C">
        <w:rPr>
          <w:rStyle w:val="FootnoteReference"/>
          <w:rFonts w:ascii="Times New Roman" w:hAnsi="Times New Roman" w:cs="Times New Roman"/>
          <w:i/>
          <w:iCs/>
          <w:sz w:val="18"/>
          <w:szCs w:val="18"/>
        </w:rPr>
        <w:footnoteRef/>
      </w:r>
      <w:r w:rsidRPr="004B686C">
        <w:rPr>
          <w:rFonts w:ascii="Times New Roman" w:hAnsi="Times New Roman" w:cs="Times New Roman"/>
          <w:i/>
          <w:iCs/>
          <w:sz w:val="18"/>
          <w:szCs w:val="18"/>
          <w:lang w:val="en-US"/>
        </w:rPr>
        <w:t xml:space="preserve"> </w:t>
      </w:r>
      <w:bookmarkStart w:id="28" w:name="_Hlk166062728"/>
      <w:r w:rsidRPr="004B686C">
        <w:rPr>
          <w:rFonts w:ascii="Times New Roman" w:hAnsi="Times New Roman" w:cs="Times New Roman"/>
          <w:i/>
          <w:iCs/>
          <w:sz w:val="18"/>
          <w:szCs w:val="18"/>
          <w:lang w:val="bg-BG"/>
        </w:rPr>
        <w:t xml:space="preserve">Съгласно раздел </w:t>
      </w:r>
      <w:r w:rsidRPr="004B686C">
        <w:rPr>
          <w:rFonts w:ascii="Times New Roman" w:hAnsi="Times New Roman" w:cs="Times New Roman"/>
          <w:i/>
          <w:iCs/>
          <w:sz w:val="18"/>
          <w:szCs w:val="18"/>
          <w:lang w:val="en-US"/>
        </w:rPr>
        <w:t xml:space="preserve">2.5.1, </w:t>
      </w:r>
      <w:r w:rsidRPr="004B686C">
        <w:rPr>
          <w:rFonts w:ascii="Times New Roman" w:hAnsi="Times New Roman" w:cs="Times New Roman"/>
          <w:i/>
          <w:iCs/>
          <w:sz w:val="18"/>
          <w:szCs w:val="18"/>
          <w:lang w:val="bg-BG"/>
        </w:rPr>
        <w:t>точка</w:t>
      </w:r>
      <w:r w:rsidRPr="004B686C">
        <w:rPr>
          <w:rFonts w:ascii="Times New Roman" w:hAnsi="Times New Roman" w:cs="Times New Roman"/>
          <w:i/>
          <w:iCs/>
          <w:sz w:val="18"/>
          <w:szCs w:val="18"/>
          <w:lang w:val="en-US"/>
        </w:rPr>
        <w:t xml:space="preserve"> 77(a)(ii) </w:t>
      </w:r>
      <w:r w:rsidRPr="004B686C">
        <w:rPr>
          <w:rFonts w:ascii="Times New Roman" w:hAnsi="Times New Roman" w:cs="Times New Roman"/>
          <w:i/>
          <w:iCs/>
          <w:sz w:val="18"/>
          <w:szCs w:val="18"/>
          <w:lang w:val="bg-BG"/>
        </w:rPr>
        <w:t>ВРКП</w:t>
      </w:r>
      <w:r w:rsidRPr="004B686C">
        <w:rPr>
          <w:rFonts w:ascii="Times New Roman" w:hAnsi="Times New Roman" w:cs="Times New Roman"/>
          <w:i/>
          <w:iCs/>
          <w:sz w:val="18"/>
          <w:szCs w:val="18"/>
          <w:lang w:val="en-US"/>
        </w:rPr>
        <w:t>.</w:t>
      </w:r>
      <w:bookmarkEnd w:id="28"/>
    </w:p>
  </w:footnote>
  <w:footnote w:id="8">
    <w:p w14:paraId="5F35FB66" w14:textId="1BF61530" w:rsidR="004007BA" w:rsidRPr="004B686C" w:rsidRDefault="004007BA" w:rsidP="00A43A7A">
      <w:pPr>
        <w:pStyle w:val="FootnoteText"/>
        <w:rPr>
          <w:rFonts w:ascii="Times New Roman" w:hAnsi="Times New Roman" w:cs="Times New Roman"/>
          <w:i/>
          <w:iCs/>
          <w:sz w:val="18"/>
          <w:szCs w:val="18"/>
          <w:lang w:val="en-US"/>
        </w:rPr>
      </w:pPr>
      <w:r w:rsidRPr="004B686C">
        <w:rPr>
          <w:rStyle w:val="FootnoteReference"/>
          <w:rFonts w:ascii="Times New Roman" w:hAnsi="Times New Roman" w:cs="Times New Roman"/>
          <w:i/>
          <w:iCs/>
          <w:sz w:val="18"/>
          <w:szCs w:val="18"/>
        </w:rPr>
        <w:footnoteRef/>
      </w:r>
      <w:r w:rsidRPr="004B686C">
        <w:rPr>
          <w:rFonts w:ascii="Times New Roman" w:hAnsi="Times New Roman" w:cs="Times New Roman"/>
          <w:i/>
          <w:iCs/>
          <w:sz w:val="18"/>
          <w:szCs w:val="18"/>
          <w:lang w:val="en-US"/>
        </w:rPr>
        <w:t xml:space="preserve"> </w:t>
      </w:r>
      <w:r w:rsidRPr="004B686C">
        <w:rPr>
          <w:rFonts w:ascii="Times New Roman" w:hAnsi="Times New Roman" w:cs="Times New Roman"/>
          <w:i/>
          <w:iCs/>
          <w:sz w:val="18"/>
          <w:szCs w:val="18"/>
          <w:lang w:val="bg-BG"/>
        </w:rPr>
        <w:t xml:space="preserve">Съгласно раздел </w:t>
      </w:r>
      <w:r w:rsidRPr="004B686C">
        <w:rPr>
          <w:rFonts w:ascii="Times New Roman" w:hAnsi="Times New Roman" w:cs="Times New Roman"/>
          <w:i/>
          <w:iCs/>
          <w:sz w:val="18"/>
          <w:szCs w:val="18"/>
          <w:lang w:val="en-US"/>
        </w:rPr>
        <w:t xml:space="preserve">2.5.1, </w:t>
      </w:r>
      <w:r w:rsidRPr="004B686C">
        <w:rPr>
          <w:rFonts w:ascii="Times New Roman" w:hAnsi="Times New Roman" w:cs="Times New Roman"/>
          <w:i/>
          <w:iCs/>
          <w:sz w:val="18"/>
          <w:szCs w:val="18"/>
          <w:lang w:val="bg-BG"/>
        </w:rPr>
        <w:t>точка</w:t>
      </w:r>
      <w:r w:rsidRPr="004B686C">
        <w:rPr>
          <w:rFonts w:ascii="Times New Roman" w:hAnsi="Times New Roman" w:cs="Times New Roman"/>
          <w:i/>
          <w:iCs/>
          <w:sz w:val="18"/>
          <w:szCs w:val="18"/>
          <w:lang w:val="en-US"/>
        </w:rPr>
        <w:t xml:space="preserve"> 77(o) </w:t>
      </w:r>
      <w:r w:rsidRPr="004B686C">
        <w:rPr>
          <w:rFonts w:ascii="Times New Roman" w:hAnsi="Times New Roman" w:cs="Times New Roman"/>
          <w:i/>
          <w:iCs/>
          <w:sz w:val="18"/>
          <w:szCs w:val="18"/>
          <w:lang w:val="bg-BG"/>
        </w:rPr>
        <w:t>ВРКП</w:t>
      </w:r>
      <w:r w:rsidRPr="004B686C">
        <w:rPr>
          <w:rFonts w:ascii="Times New Roman" w:hAnsi="Times New Roman" w:cs="Times New Roman"/>
          <w:i/>
          <w:iCs/>
          <w:sz w:val="18"/>
          <w:szCs w:val="18"/>
          <w:lang w:val="en-US"/>
        </w:rPr>
        <w:t>.</w:t>
      </w:r>
    </w:p>
  </w:footnote>
  <w:footnote w:id="9">
    <w:p w14:paraId="3CE094E7" w14:textId="3146FBB3" w:rsidR="004007BA" w:rsidRPr="004B686C" w:rsidRDefault="004007BA" w:rsidP="006641CE">
      <w:pPr>
        <w:pStyle w:val="FootnoteText"/>
        <w:rPr>
          <w:rFonts w:ascii="Times New Roman" w:hAnsi="Times New Roman" w:cs="Times New Roman"/>
          <w:i/>
          <w:iCs/>
          <w:sz w:val="18"/>
          <w:szCs w:val="18"/>
          <w:lang w:val="en-US"/>
        </w:rPr>
      </w:pPr>
      <w:r w:rsidRPr="004B686C">
        <w:rPr>
          <w:rStyle w:val="FootnoteReference"/>
          <w:rFonts w:ascii="Times New Roman" w:hAnsi="Times New Roman" w:cs="Times New Roman"/>
          <w:i/>
          <w:iCs/>
          <w:sz w:val="18"/>
          <w:szCs w:val="18"/>
        </w:rPr>
        <w:footnoteRef/>
      </w:r>
      <w:r w:rsidRPr="004B686C">
        <w:rPr>
          <w:rFonts w:ascii="Times New Roman" w:hAnsi="Times New Roman" w:cs="Times New Roman"/>
          <w:i/>
          <w:iCs/>
          <w:sz w:val="18"/>
          <w:szCs w:val="18"/>
          <w:lang w:val="en-US"/>
        </w:rPr>
        <w:t xml:space="preserve"> </w:t>
      </w:r>
      <w:r w:rsidRPr="004B686C">
        <w:rPr>
          <w:rFonts w:ascii="Times New Roman" w:hAnsi="Times New Roman" w:cs="Times New Roman"/>
          <w:i/>
          <w:iCs/>
          <w:sz w:val="18"/>
          <w:szCs w:val="18"/>
          <w:lang w:val="bg-BG"/>
        </w:rPr>
        <w:t>Съгласно</w:t>
      </w:r>
      <w:r w:rsidRPr="004B686C">
        <w:rPr>
          <w:rFonts w:ascii="Times New Roman" w:hAnsi="Times New Roman" w:cs="Times New Roman"/>
          <w:i/>
          <w:iCs/>
          <w:sz w:val="18"/>
          <w:szCs w:val="18"/>
          <w:lang w:val="en-US"/>
        </w:rPr>
        <w:t xml:space="preserve"> to </w:t>
      </w:r>
      <w:r w:rsidRPr="004B686C">
        <w:rPr>
          <w:rFonts w:ascii="Times New Roman" w:hAnsi="Times New Roman" w:cs="Times New Roman"/>
          <w:i/>
          <w:iCs/>
          <w:sz w:val="18"/>
          <w:szCs w:val="18"/>
          <w:lang w:val="bg-BG"/>
        </w:rPr>
        <w:t>точка</w:t>
      </w:r>
      <w:r w:rsidRPr="004B686C">
        <w:rPr>
          <w:rFonts w:ascii="Times New Roman" w:hAnsi="Times New Roman" w:cs="Times New Roman"/>
          <w:i/>
          <w:iCs/>
          <w:sz w:val="18"/>
          <w:szCs w:val="18"/>
          <w:lang w:val="en-US"/>
        </w:rPr>
        <w:t xml:space="preserve"> 59</w:t>
      </w:r>
      <w:r w:rsidRPr="004B686C">
        <w:rPr>
          <w:rFonts w:ascii="Times New Roman" w:hAnsi="Times New Roman" w:cs="Times New Roman"/>
          <w:i/>
          <w:iCs/>
          <w:sz w:val="18"/>
          <w:szCs w:val="18"/>
          <w:lang w:val="bg-BG"/>
        </w:rPr>
        <w:t xml:space="preserve"> ВРКП</w:t>
      </w:r>
      <w:r w:rsidRPr="004B686C">
        <w:rPr>
          <w:rFonts w:ascii="Times New Roman" w:hAnsi="Times New Roman" w:cs="Times New Roman"/>
          <w:i/>
          <w:iCs/>
          <w:sz w:val="18"/>
          <w:szCs w:val="18"/>
          <w:lang w:val="en-US"/>
        </w:rPr>
        <w:t>.</w:t>
      </w:r>
    </w:p>
  </w:footnote>
  <w:footnote w:id="10">
    <w:p w14:paraId="2DC448FA" w14:textId="3069C45B" w:rsidR="004007BA" w:rsidRPr="004B686C" w:rsidRDefault="004007BA" w:rsidP="006641CE">
      <w:pPr>
        <w:pStyle w:val="FootnoteText"/>
        <w:rPr>
          <w:rFonts w:ascii="Times New Roman" w:hAnsi="Times New Roman" w:cs="Times New Roman"/>
          <w:i/>
          <w:iCs/>
          <w:sz w:val="18"/>
          <w:szCs w:val="18"/>
          <w:lang w:val="en-US"/>
        </w:rPr>
      </w:pPr>
      <w:r w:rsidRPr="004B686C">
        <w:rPr>
          <w:rStyle w:val="FootnoteReference"/>
          <w:rFonts w:ascii="Times New Roman" w:hAnsi="Times New Roman" w:cs="Times New Roman"/>
          <w:sz w:val="18"/>
          <w:szCs w:val="18"/>
        </w:rPr>
        <w:footnoteRef/>
      </w:r>
      <w:r w:rsidRPr="004B686C">
        <w:rPr>
          <w:rFonts w:ascii="Times New Roman" w:hAnsi="Times New Roman" w:cs="Times New Roman"/>
          <w:sz w:val="18"/>
          <w:szCs w:val="18"/>
          <w:lang w:val="en-US"/>
        </w:rPr>
        <w:t xml:space="preserve"> </w:t>
      </w:r>
      <w:bookmarkStart w:id="29" w:name="_Hlk166083252"/>
      <w:r w:rsidRPr="004B686C">
        <w:rPr>
          <w:rFonts w:ascii="Times New Roman" w:hAnsi="Times New Roman" w:cs="Times New Roman"/>
          <w:i/>
          <w:iCs/>
          <w:sz w:val="18"/>
          <w:szCs w:val="18"/>
          <w:lang w:val="bg-BG"/>
        </w:rPr>
        <w:t xml:space="preserve">Съгласно раздел </w:t>
      </w:r>
      <w:r w:rsidRPr="004B686C">
        <w:rPr>
          <w:rFonts w:ascii="Times New Roman" w:hAnsi="Times New Roman" w:cs="Times New Roman"/>
          <w:i/>
          <w:iCs/>
          <w:sz w:val="18"/>
          <w:szCs w:val="18"/>
          <w:lang w:val="en-US"/>
        </w:rPr>
        <w:t xml:space="preserve">2.5.1, </w:t>
      </w:r>
      <w:r w:rsidRPr="004B686C">
        <w:rPr>
          <w:rFonts w:ascii="Times New Roman" w:hAnsi="Times New Roman" w:cs="Times New Roman"/>
          <w:i/>
          <w:iCs/>
          <w:sz w:val="18"/>
          <w:szCs w:val="18"/>
          <w:lang w:val="bg-BG"/>
        </w:rPr>
        <w:t xml:space="preserve">точка </w:t>
      </w:r>
      <w:r w:rsidRPr="004B686C">
        <w:rPr>
          <w:rFonts w:ascii="Times New Roman" w:hAnsi="Times New Roman" w:cs="Times New Roman"/>
          <w:i/>
          <w:iCs/>
          <w:sz w:val="18"/>
          <w:szCs w:val="18"/>
          <w:lang w:val="en-US"/>
        </w:rPr>
        <w:t>77(</w:t>
      </w:r>
      <w:r w:rsidRPr="004B686C">
        <w:rPr>
          <w:rFonts w:ascii="Times New Roman" w:hAnsi="Times New Roman" w:cs="Times New Roman"/>
          <w:i/>
          <w:iCs/>
          <w:sz w:val="18"/>
          <w:szCs w:val="18"/>
          <w:lang w:val="bg-BG"/>
        </w:rPr>
        <w:t>м</w:t>
      </w:r>
      <w:r w:rsidRPr="004B686C">
        <w:rPr>
          <w:rFonts w:ascii="Times New Roman" w:hAnsi="Times New Roman" w:cs="Times New Roman"/>
          <w:i/>
          <w:iCs/>
          <w:sz w:val="18"/>
          <w:szCs w:val="18"/>
          <w:lang w:val="en-US"/>
        </w:rPr>
        <w:t xml:space="preserve">) </w:t>
      </w:r>
      <w:r w:rsidRPr="004B686C">
        <w:rPr>
          <w:rFonts w:ascii="Times New Roman" w:hAnsi="Times New Roman" w:cs="Times New Roman"/>
          <w:i/>
          <w:iCs/>
          <w:sz w:val="18"/>
          <w:szCs w:val="18"/>
          <w:lang w:val="bg-BG"/>
        </w:rPr>
        <w:t>ВРКП</w:t>
      </w:r>
      <w:r w:rsidRPr="004B686C">
        <w:rPr>
          <w:rFonts w:ascii="Times New Roman" w:hAnsi="Times New Roman" w:cs="Times New Roman"/>
          <w:i/>
          <w:iCs/>
          <w:sz w:val="18"/>
          <w:szCs w:val="18"/>
          <w:lang w:val="en-US"/>
        </w:rPr>
        <w:t>.</w:t>
      </w:r>
      <w:bookmarkEnd w:id="29"/>
    </w:p>
  </w:footnote>
  <w:footnote w:id="11">
    <w:p w14:paraId="14DB08F8" w14:textId="0CCB8ABD" w:rsidR="004007BA" w:rsidRPr="004B686C" w:rsidRDefault="004007BA" w:rsidP="006641CE">
      <w:pPr>
        <w:pStyle w:val="FootnoteText"/>
        <w:rPr>
          <w:rFonts w:ascii="Times New Roman" w:hAnsi="Times New Roman" w:cs="Times New Roman"/>
          <w:i/>
          <w:iCs/>
          <w:sz w:val="18"/>
          <w:szCs w:val="18"/>
          <w:lang w:val="en-US"/>
        </w:rPr>
      </w:pPr>
      <w:r w:rsidRPr="004B686C">
        <w:rPr>
          <w:rStyle w:val="FootnoteReference"/>
          <w:rFonts w:ascii="Times New Roman" w:hAnsi="Times New Roman" w:cs="Times New Roman"/>
          <w:i/>
          <w:iCs/>
          <w:sz w:val="18"/>
          <w:szCs w:val="18"/>
        </w:rPr>
        <w:footnoteRef/>
      </w:r>
      <w:r w:rsidRPr="004B686C">
        <w:rPr>
          <w:rFonts w:ascii="Times New Roman" w:hAnsi="Times New Roman" w:cs="Times New Roman"/>
          <w:i/>
          <w:iCs/>
          <w:sz w:val="18"/>
          <w:szCs w:val="18"/>
          <w:lang w:val="en-US"/>
        </w:rPr>
        <w:t xml:space="preserve"> </w:t>
      </w:r>
      <w:r w:rsidRPr="004B686C">
        <w:rPr>
          <w:rFonts w:ascii="Times New Roman" w:hAnsi="Times New Roman" w:cs="Times New Roman"/>
          <w:i/>
          <w:iCs/>
          <w:sz w:val="18"/>
          <w:szCs w:val="18"/>
          <w:lang w:val="bg-BG"/>
        </w:rPr>
        <w:t xml:space="preserve">Съгласно раздел </w:t>
      </w:r>
      <w:r w:rsidRPr="004B686C">
        <w:rPr>
          <w:rFonts w:ascii="Times New Roman" w:hAnsi="Times New Roman" w:cs="Times New Roman"/>
          <w:i/>
          <w:iCs/>
          <w:sz w:val="18"/>
          <w:szCs w:val="18"/>
          <w:lang w:val="en-US"/>
        </w:rPr>
        <w:t xml:space="preserve">2.5.1, </w:t>
      </w:r>
      <w:r w:rsidRPr="004B686C">
        <w:rPr>
          <w:rFonts w:ascii="Times New Roman" w:hAnsi="Times New Roman" w:cs="Times New Roman"/>
          <w:i/>
          <w:iCs/>
          <w:sz w:val="18"/>
          <w:szCs w:val="18"/>
          <w:lang w:val="bg-BG"/>
        </w:rPr>
        <w:t xml:space="preserve">точка </w:t>
      </w:r>
      <w:r w:rsidRPr="004B686C">
        <w:rPr>
          <w:rFonts w:ascii="Times New Roman" w:hAnsi="Times New Roman" w:cs="Times New Roman"/>
          <w:i/>
          <w:iCs/>
          <w:sz w:val="18"/>
          <w:szCs w:val="18"/>
          <w:lang w:val="en-US"/>
        </w:rPr>
        <w:t>77(</w:t>
      </w:r>
      <w:r w:rsidRPr="004B686C">
        <w:rPr>
          <w:rFonts w:ascii="Times New Roman" w:hAnsi="Times New Roman" w:cs="Times New Roman"/>
          <w:i/>
          <w:iCs/>
          <w:sz w:val="18"/>
          <w:szCs w:val="18"/>
          <w:lang w:val="bg-BG"/>
        </w:rPr>
        <w:t>н</w:t>
      </w:r>
      <w:r w:rsidRPr="004B686C">
        <w:rPr>
          <w:rFonts w:ascii="Times New Roman" w:hAnsi="Times New Roman" w:cs="Times New Roman"/>
          <w:i/>
          <w:iCs/>
          <w:sz w:val="18"/>
          <w:szCs w:val="18"/>
          <w:lang w:val="en-US"/>
        </w:rPr>
        <w:t xml:space="preserve">) </w:t>
      </w:r>
      <w:r w:rsidRPr="004B686C">
        <w:rPr>
          <w:rFonts w:ascii="Times New Roman" w:hAnsi="Times New Roman" w:cs="Times New Roman"/>
          <w:i/>
          <w:iCs/>
          <w:sz w:val="18"/>
          <w:szCs w:val="18"/>
          <w:lang w:val="bg-BG"/>
        </w:rPr>
        <w:t>ВРКП</w:t>
      </w:r>
      <w:r w:rsidRPr="004B686C">
        <w:rPr>
          <w:rFonts w:ascii="Times New Roman" w:hAnsi="Times New Roman" w:cs="Times New Roman"/>
          <w:i/>
          <w:iCs/>
          <w:sz w:val="18"/>
          <w:szCs w:val="18"/>
          <w:lang w:val="en-US"/>
        </w:rPr>
        <w:t>.</w:t>
      </w:r>
    </w:p>
  </w:footnote>
  <w:footnote w:id="12">
    <w:p w14:paraId="4C12A1EA" w14:textId="04359FDD" w:rsidR="004007BA" w:rsidRPr="004B686C" w:rsidRDefault="004007BA">
      <w:pPr>
        <w:pStyle w:val="FootnoteText"/>
        <w:rPr>
          <w:rFonts w:ascii="Times New Roman" w:hAnsi="Times New Roman" w:cs="Times New Roman"/>
          <w:i/>
          <w:iCs/>
          <w:sz w:val="18"/>
          <w:szCs w:val="18"/>
          <w:lang w:val="bg-BG"/>
        </w:rPr>
      </w:pPr>
      <w:r w:rsidRPr="004B686C">
        <w:rPr>
          <w:rStyle w:val="FootnoteReference"/>
          <w:rFonts w:ascii="Times New Roman" w:hAnsi="Times New Roman" w:cs="Times New Roman"/>
          <w:i/>
          <w:iCs/>
          <w:sz w:val="18"/>
          <w:szCs w:val="18"/>
        </w:rPr>
        <w:footnoteRef/>
      </w:r>
      <w:r w:rsidRPr="004B686C">
        <w:rPr>
          <w:rFonts w:ascii="Times New Roman" w:hAnsi="Times New Roman" w:cs="Times New Roman"/>
          <w:i/>
          <w:iCs/>
          <w:sz w:val="18"/>
          <w:szCs w:val="18"/>
        </w:rPr>
        <w:t xml:space="preserve"> </w:t>
      </w:r>
      <w:r w:rsidRPr="004B686C">
        <w:rPr>
          <w:rFonts w:ascii="Times New Roman" w:hAnsi="Times New Roman" w:cs="Times New Roman"/>
          <w:i/>
          <w:iCs/>
          <w:sz w:val="18"/>
          <w:szCs w:val="18"/>
          <w:lang w:val="bg-BG"/>
        </w:rPr>
        <w:t>Съгласно точка 95 ВРКП.</w:t>
      </w:r>
    </w:p>
  </w:footnote>
  <w:footnote w:id="13">
    <w:p w14:paraId="37559555" w14:textId="08FA7639" w:rsidR="004007BA" w:rsidRPr="003B7838" w:rsidRDefault="004007BA">
      <w:pPr>
        <w:pStyle w:val="FootnoteText"/>
        <w:rPr>
          <w:rFonts w:ascii="Times New Roman" w:hAnsi="Times New Roman" w:cs="Times New Roman"/>
          <w:i/>
          <w:iCs/>
          <w:sz w:val="18"/>
          <w:szCs w:val="18"/>
          <w:lang w:val="bg-BG"/>
        </w:rPr>
      </w:pPr>
      <w:r w:rsidRPr="003B7838">
        <w:rPr>
          <w:rStyle w:val="FootnoteReference"/>
          <w:rFonts w:ascii="Times New Roman" w:hAnsi="Times New Roman" w:cs="Times New Roman"/>
          <w:i/>
          <w:iCs/>
          <w:sz w:val="18"/>
          <w:szCs w:val="18"/>
          <w:lang w:val="bg-BG"/>
        </w:rPr>
        <w:footnoteRef/>
      </w:r>
      <w:r w:rsidRPr="003B7838">
        <w:rPr>
          <w:rFonts w:ascii="Times New Roman" w:hAnsi="Times New Roman" w:cs="Times New Roman"/>
          <w:i/>
          <w:iCs/>
          <w:sz w:val="18"/>
          <w:szCs w:val="18"/>
          <w:lang w:val="bg-BG"/>
        </w:rPr>
        <w:t xml:space="preserve"> "Започване на работите" означава по-ранното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с който инвестицията става необратима. Закупуването на земя и подготвителните дейности, като получаването на разрешително и провеждането на предварителни проучвания за осъществимост, не се считат за започване на работите.</w:t>
      </w:r>
    </w:p>
  </w:footnote>
  <w:footnote w:id="14">
    <w:p w14:paraId="20D18AEF" w14:textId="3815FBE9" w:rsidR="004007BA" w:rsidRPr="00D939DD" w:rsidRDefault="004007BA">
      <w:pPr>
        <w:pStyle w:val="FootnoteText"/>
        <w:rPr>
          <w:rFonts w:ascii="Times New Roman" w:hAnsi="Times New Roman" w:cs="Times New Roman"/>
          <w:i/>
          <w:iCs/>
          <w:sz w:val="18"/>
          <w:szCs w:val="18"/>
          <w:lang w:val="en-US"/>
        </w:rPr>
      </w:pPr>
      <w:r>
        <w:rPr>
          <w:rStyle w:val="FootnoteReference"/>
        </w:rPr>
        <w:footnoteRef/>
      </w:r>
      <w:r>
        <w:t xml:space="preserve"> </w:t>
      </w:r>
      <w:r w:rsidRPr="00D939DD">
        <w:rPr>
          <w:rFonts w:ascii="Times New Roman" w:hAnsi="Times New Roman" w:cs="Times New Roman"/>
          <w:i/>
          <w:iCs/>
          <w:sz w:val="18"/>
          <w:szCs w:val="18"/>
          <w:lang w:val="bg-BG"/>
        </w:rPr>
        <w:t xml:space="preserve">Допълнителна информация за "предприятие в затруднено положение" е налична в </w:t>
      </w:r>
      <w:r w:rsidRPr="00203519">
        <w:rPr>
          <w:rFonts w:ascii="Times New Roman" w:hAnsi="Times New Roman" w:cs="Times New Roman"/>
          <w:i/>
          <w:iCs/>
          <w:sz w:val="18"/>
          <w:szCs w:val="18"/>
          <w:lang w:val="bg-BG"/>
        </w:rPr>
        <w:t xml:space="preserve">Приложение </w:t>
      </w:r>
      <w:r w:rsidRPr="00E57C4A">
        <w:rPr>
          <w:rFonts w:ascii="Times New Roman" w:hAnsi="Times New Roman" w:cs="Times New Roman"/>
          <w:i/>
          <w:iCs/>
          <w:sz w:val="18"/>
          <w:szCs w:val="18"/>
          <w:lang w:val="bg-BG"/>
        </w:rPr>
        <w:t>2</w:t>
      </w:r>
    </w:p>
  </w:footnote>
  <w:footnote w:id="15">
    <w:p w14:paraId="58EDC4F9" w14:textId="25ECF61C" w:rsidR="004007BA" w:rsidRPr="00DA5B3E" w:rsidRDefault="004007BA" w:rsidP="00364008">
      <w:pPr>
        <w:pStyle w:val="FootnoteText"/>
        <w:rPr>
          <w:rFonts w:ascii="Times New Roman" w:hAnsi="Times New Roman" w:cs="Times New Roman"/>
          <w:i/>
          <w:iCs/>
          <w:sz w:val="18"/>
          <w:szCs w:val="18"/>
          <w:lang w:val="bg-BG"/>
        </w:rPr>
      </w:pPr>
      <w:r>
        <w:rPr>
          <w:rStyle w:val="FootnoteReference"/>
        </w:rPr>
        <w:footnoteRef/>
      </w:r>
      <w:r w:rsidRPr="000B5679">
        <w:rPr>
          <w:lang w:val="en-US"/>
        </w:rPr>
        <w:t xml:space="preserve"> </w:t>
      </w:r>
      <w:r w:rsidRPr="00DA5B3E">
        <w:rPr>
          <w:rFonts w:ascii="Times New Roman" w:hAnsi="Times New Roman" w:cs="Times New Roman"/>
          <w:i/>
          <w:iCs/>
          <w:sz w:val="18"/>
          <w:szCs w:val="18"/>
          <w:lang w:val="bg-BG"/>
        </w:rPr>
        <w:t>Съгласно точка 52 ВРКП.</w:t>
      </w:r>
    </w:p>
  </w:footnote>
  <w:footnote w:id="16">
    <w:p w14:paraId="7153CDAF" w14:textId="3E6DF488" w:rsidR="004007BA" w:rsidRPr="004B686C" w:rsidRDefault="004007BA" w:rsidP="003F1496">
      <w:pPr>
        <w:pStyle w:val="FootnoteText"/>
        <w:rPr>
          <w:rFonts w:ascii="Times New Roman" w:hAnsi="Times New Roman" w:cs="Times New Roman"/>
          <w:i/>
          <w:sz w:val="18"/>
          <w:lang w:val="en-US"/>
        </w:rPr>
      </w:pPr>
      <w:r w:rsidRPr="00491133">
        <w:rPr>
          <w:rStyle w:val="FootnoteReference"/>
          <w:rFonts w:ascii="Times New Roman" w:hAnsi="Times New Roman" w:cs="Times New Roman"/>
          <w:i/>
          <w:sz w:val="18"/>
          <w:lang w:val="bg-BG"/>
        </w:rPr>
        <w:footnoteRef/>
      </w:r>
      <w:r w:rsidRPr="00491133">
        <w:rPr>
          <w:rFonts w:ascii="Times New Roman" w:hAnsi="Times New Roman" w:cs="Times New Roman"/>
          <w:i/>
          <w:sz w:val="18"/>
          <w:lang w:val="bg-BG"/>
        </w:rPr>
        <w:t xml:space="preserve"> Допълнителна информация относно спазване на принципа за „ненанасяне на значителни вреди</w:t>
      </w:r>
      <w:r w:rsidRPr="00EF658D">
        <w:rPr>
          <w:rFonts w:ascii="Times New Roman" w:hAnsi="Times New Roman" w:cs="Times New Roman"/>
          <w:i/>
          <w:sz w:val="18"/>
          <w:lang w:val="bg-BG"/>
        </w:rPr>
        <w:t xml:space="preserve">“ </w:t>
      </w:r>
      <w:r w:rsidRPr="00E57C4A">
        <w:rPr>
          <w:rFonts w:ascii="Times New Roman" w:hAnsi="Times New Roman" w:cs="Times New Roman"/>
          <w:i/>
          <w:sz w:val="18"/>
          <w:lang w:val="bg-BG"/>
        </w:rPr>
        <w:t>е налична в т. 16 и Приложение 6</w:t>
      </w:r>
    </w:p>
  </w:footnote>
  <w:footnote w:id="17">
    <w:p w14:paraId="011B1365" w14:textId="133ED8D0" w:rsidR="004007BA" w:rsidRPr="009A7863" w:rsidRDefault="004007BA" w:rsidP="003F1496">
      <w:pPr>
        <w:pStyle w:val="FootnoteText"/>
        <w:rPr>
          <w:rFonts w:ascii="Times New Roman" w:hAnsi="Times New Roman" w:cs="Times New Roman"/>
          <w:i/>
          <w:sz w:val="18"/>
          <w:lang w:val="bg-BG"/>
        </w:rPr>
      </w:pPr>
      <w:r w:rsidRPr="009A7863">
        <w:rPr>
          <w:rStyle w:val="FootnoteReference"/>
          <w:rFonts w:ascii="Times New Roman" w:hAnsi="Times New Roman" w:cs="Times New Roman"/>
          <w:i/>
          <w:sz w:val="18"/>
          <w:lang w:val="bg-BG"/>
        </w:rPr>
        <w:footnoteRef/>
      </w:r>
      <w:r w:rsidRPr="009A7863">
        <w:rPr>
          <w:rFonts w:ascii="Times New Roman" w:hAnsi="Times New Roman" w:cs="Times New Roman"/>
          <w:i/>
          <w:sz w:val="18"/>
          <w:lang w:val="bg-BG"/>
        </w:rPr>
        <w:t xml:space="preserve"> В съответствие с чл. 192, </w:t>
      </w:r>
      <w:r>
        <w:rPr>
          <w:rFonts w:ascii="Times New Roman" w:hAnsi="Times New Roman" w:cs="Times New Roman"/>
          <w:i/>
          <w:sz w:val="18"/>
          <w:lang w:val="bg-BG"/>
        </w:rPr>
        <w:t>т</w:t>
      </w:r>
      <w:r w:rsidRPr="009A7863">
        <w:rPr>
          <w:rFonts w:ascii="Times New Roman" w:hAnsi="Times New Roman" w:cs="Times New Roman"/>
          <w:i/>
          <w:sz w:val="18"/>
          <w:lang w:val="bg-BG"/>
        </w:rPr>
        <w:t xml:space="preserve">. 2 от Регламент (ЕС, ЕВРАТОМ) № 2018/1046 г. </w:t>
      </w:r>
      <w:r w:rsidRPr="00A92E00">
        <w:rPr>
          <w:rFonts w:ascii="Times New Roman" w:hAnsi="Times New Roman" w:cs="Times New Roman"/>
          <w:bCs/>
          <w:i/>
          <w:sz w:val="18"/>
          <w:lang w:val="bg-BG"/>
        </w:rPr>
        <w:t>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sidRPr="009A7863">
        <w:rPr>
          <w:rFonts w:ascii="Times New Roman" w:hAnsi="Times New Roman" w:cs="Times New Roman"/>
          <w:i/>
          <w:sz w:val="18"/>
          <w:lang w:val="bg-BG"/>
        </w:rPr>
        <w:t>.</w:t>
      </w:r>
    </w:p>
  </w:footnote>
  <w:footnote w:id="18">
    <w:p w14:paraId="72BC57AD" w14:textId="4750A3FF" w:rsidR="004007BA" w:rsidRPr="00144AAB" w:rsidRDefault="004007BA" w:rsidP="008718ED">
      <w:pPr>
        <w:pStyle w:val="FootnoteText"/>
        <w:rPr>
          <w:rFonts w:ascii="Times New Roman" w:hAnsi="Times New Roman" w:cs="Times New Roman"/>
          <w:i/>
          <w:iCs/>
          <w:sz w:val="18"/>
          <w:szCs w:val="18"/>
          <w:lang w:val="bg-BG"/>
        </w:rPr>
      </w:pPr>
      <w:r w:rsidRPr="00144AAB">
        <w:rPr>
          <w:rStyle w:val="FootnoteReference"/>
          <w:rFonts w:ascii="Times New Roman" w:hAnsi="Times New Roman" w:cs="Times New Roman"/>
          <w:i/>
          <w:iCs/>
          <w:sz w:val="18"/>
          <w:szCs w:val="18"/>
        </w:rPr>
        <w:footnoteRef/>
      </w:r>
      <w:r w:rsidRPr="00144AAB">
        <w:rPr>
          <w:rFonts w:ascii="Times New Roman" w:hAnsi="Times New Roman" w:cs="Times New Roman"/>
          <w:i/>
          <w:iCs/>
          <w:sz w:val="18"/>
          <w:szCs w:val="18"/>
        </w:rPr>
        <w:t xml:space="preserve"> </w:t>
      </w:r>
      <w:r>
        <w:rPr>
          <w:rFonts w:ascii="Times New Roman" w:hAnsi="Times New Roman" w:cs="Times New Roman"/>
          <w:i/>
          <w:iCs/>
          <w:sz w:val="18"/>
          <w:szCs w:val="18"/>
          <w:lang w:val="bg-BG"/>
        </w:rPr>
        <w:t>Кандидати</w:t>
      </w:r>
      <w:r w:rsidRPr="00144AAB">
        <w:rPr>
          <w:rFonts w:ascii="Times New Roman" w:hAnsi="Times New Roman" w:cs="Times New Roman"/>
          <w:i/>
          <w:iCs/>
          <w:sz w:val="18"/>
          <w:szCs w:val="18"/>
          <w:lang w:val="bg-BG"/>
        </w:rPr>
        <w:t>, ко</w:t>
      </w:r>
      <w:r>
        <w:rPr>
          <w:rFonts w:ascii="Times New Roman" w:hAnsi="Times New Roman" w:cs="Times New Roman"/>
          <w:i/>
          <w:iCs/>
          <w:sz w:val="18"/>
          <w:szCs w:val="18"/>
          <w:lang w:val="bg-BG"/>
        </w:rPr>
        <w:t>и</w:t>
      </w:r>
      <w:r w:rsidRPr="00144AAB">
        <w:rPr>
          <w:rFonts w:ascii="Times New Roman" w:hAnsi="Times New Roman" w:cs="Times New Roman"/>
          <w:i/>
          <w:iCs/>
          <w:sz w:val="18"/>
          <w:szCs w:val="18"/>
          <w:lang w:val="bg-BG"/>
        </w:rPr>
        <w:t>то са участвали в</w:t>
      </w:r>
      <w:r>
        <w:rPr>
          <w:rFonts w:ascii="Times New Roman" w:hAnsi="Times New Roman" w:cs="Times New Roman"/>
          <w:i/>
          <w:iCs/>
          <w:sz w:val="18"/>
          <w:szCs w:val="18"/>
          <w:lang w:val="bg-BG"/>
        </w:rPr>
        <w:t xml:space="preserve"> </w:t>
      </w:r>
      <w:r w:rsidRPr="008A78D8">
        <w:rPr>
          <w:rFonts w:ascii="Times New Roman" w:hAnsi="Times New Roman" w:cs="Times New Roman"/>
          <w:i/>
          <w:iCs/>
          <w:sz w:val="18"/>
          <w:szCs w:val="18"/>
          <w:lang w:val="bg-BG"/>
        </w:rPr>
        <w:t>BG-RRP - 4.032 "Подкрепа за нови мощности за производство на електроенергия от възобновяеми източници и съхранение на електроенергия над 200 kW</w:t>
      </w:r>
      <w:r>
        <w:rPr>
          <w:rFonts w:ascii="Times New Roman" w:hAnsi="Times New Roman" w:cs="Times New Roman"/>
          <w:i/>
          <w:iCs/>
          <w:sz w:val="18"/>
          <w:szCs w:val="18"/>
          <w:lang w:val="bg-BG"/>
        </w:rPr>
        <w:t xml:space="preserve">“ </w:t>
      </w:r>
      <w:r w:rsidRPr="00144AAB">
        <w:rPr>
          <w:rFonts w:ascii="Times New Roman" w:hAnsi="Times New Roman" w:cs="Times New Roman"/>
          <w:i/>
          <w:iCs/>
          <w:sz w:val="18"/>
          <w:szCs w:val="18"/>
          <w:lang w:val="bg-BG"/>
        </w:rPr>
        <w:t xml:space="preserve">, биха могли да участват в настоящата процедура за </w:t>
      </w:r>
      <w:r>
        <w:rPr>
          <w:rFonts w:ascii="Times New Roman" w:hAnsi="Times New Roman" w:cs="Times New Roman"/>
          <w:i/>
          <w:iCs/>
          <w:sz w:val="18"/>
          <w:szCs w:val="18"/>
          <w:lang w:val="bg-BG"/>
        </w:rPr>
        <w:t>нов</w:t>
      </w:r>
      <w:r w:rsidRPr="00144AAB">
        <w:rPr>
          <w:rFonts w:ascii="Times New Roman" w:hAnsi="Times New Roman" w:cs="Times New Roman"/>
          <w:i/>
          <w:iCs/>
          <w:sz w:val="18"/>
          <w:szCs w:val="18"/>
          <w:lang w:val="bg-BG"/>
        </w:rPr>
        <w:t xml:space="preserve"> капацитет</w:t>
      </w:r>
      <w:r>
        <w:rPr>
          <w:rFonts w:ascii="Times New Roman" w:hAnsi="Times New Roman" w:cs="Times New Roman"/>
          <w:i/>
          <w:iCs/>
          <w:sz w:val="18"/>
          <w:szCs w:val="18"/>
          <w:lang w:val="bg-BG"/>
        </w:rPr>
        <w:t xml:space="preserve"> за съхранение</w:t>
      </w:r>
      <w:r w:rsidRPr="00144AAB">
        <w:rPr>
          <w:rFonts w:ascii="Times New Roman" w:hAnsi="Times New Roman" w:cs="Times New Roman"/>
          <w:i/>
          <w:iCs/>
          <w:sz w:val="18"/>
          <w:szCs w:val="18"/>
          <w:lang w:val="bg-BG"/>
        </w:rPr>
        <w:t xml:space="preserve">, доколкото отговарят на условията за </w:t>
      </w:r>
      <w:r w:rsidRPr="008A78D8">
        <w:rPr>
          <w:rFonts w:ascii="Times New Roman" w:hAnsi="Times New Roman" w:cs="Times New Roman"/>
          <w:i/>
          <w:iCs/>
          <w:sz w:val="18"/>
          <w:szCs w:val="18"/>
          <w:lang w:val="bg-BG"/>
        </w:rPr>
        <w:t>кандидатстване</w:t>
      </w:r>
      <w:r w:rsidRPr="00144AAB">
        <w:rPr>
          <w:rFonts w:ascii="Times New Roman" w:hAnsi="Times New Roman" w:cs="Times New Roman"/>
          <w:i/>
          <w:iCs/>
          <w:sz w:val="18"/>
          <w:szCs w:val="18"/>
          <w:lang w:val="bg-BG"/>
        </w:rPr>
        <w:t>.</w:t>
      </w:r>
    </w:p>
  </w:footnote>
  <w:footnote w:id="19">
    <w:p w14:paraId="77747DF7" w14:textId="1B4AEBE9" w:rsidR="004007BA" w:rsidRPr="00D75BC5" w:rsidRDefault="004007BA" w:rsidP="00323EEA">
      <w:pPr>
        <w:pStyle w:val="FootnoteText"/>
        <w:rPr>
          <w:rFonts w:ascii="Times New Roman" w:hAnsi="Times New Roman" w:cs="Times New Roman"/>
          <w:i/>
          <w:sz w:val="18"/>
          <w:lang w:val="en-US"/>
        </w:rPr>
      </w:pPr>
      <w:r w:rsidRPr="00527D95">
        <w:rPr>
          <w:rStyle w:val="FootnoteReference"/>
          <w:i/>
          <w:sz w:val="18"/>
        </w:rPr>
        <w:footnoteRef/>
      </w:r>
      <w:r w:rsidRPr="00527D95">
        <w:rPr>
          <w:i/>
          <w:sz w:val="18"/>
        </w:rPr>
        <w:t xml:space="preserve"> </w:t>
      </w:r>
      <w:r w:rsidRPr="00D75BC5">
        <w:rPr>
          <w:rFonts w:ascii="Times New Roman" w:hAnsi="Times New Roman" w:cs="Times New Roman"/>
          <w:i/>
          <w:sz w:val="18"/>
        </w:rPr>
        <w:t>Съгласно</w:t>
      </w:r>
      <w:r w:rsidRPr="00D75BC5">
        <w:rPr>
          <w:rFonts w:ascii="Times New Roman" w:hAnsi="Times New Roman" w:cs="Times New Roman"/>
          <w:i/>
          <w:sz w:val="18"/>
          <w:lang w:val="en-US"/>
        </w:rPr>
        <w:t xml:space="preserve"> </w:t>
      </w:r>
      <w:r w:rsidRPr="00D75BC5">
        <w:rPr>
          <w:rFonts w:ascii="Times New Roman" w:hAnsi="Times New Roman" w:cs="Times New Roman"/>
          <w:i/>
          <w:sz w:val="18"/>
        </w:rPr>
        <w:t xml:space="preserve">определението, дадено в Приложение </w:t>
      </w:r>
      <w:r>
        <w:rPr>
          <w:rFonts w:ascii="Times New Roman" w:hAnsi="Times New Roman" w:cs="Times New Roman"/>
          <w:i/>
          <w:sz w:val="18"/>
          <w:lang w:val="bg-BG"/>
        </w:rPr>
        <w:t>6</w:t>
      </w:r>
      <w:r w:rsidRPr="00D75BC5">
        <w:rPr>
          <w:rFonts w:ascii="Times New Roman" w:hAnsi="Times New Roman" w:cs="Times New Roman"/>
          <w:i/>
          <w:sz w:val="18"/>
        </w:rPr>
        <w:t xml:space="preserve"> към Условията за кандидатстване, и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w:t>
      </w:r>
    </w:p>
  </w:footnote>
  <w:footnote w:id="20">
    <w:p w14:paraId="0841C5EB" w14:textId="77777777" w:rsidR="004007BA" w:rsidRPr="004A3427" w:rsidRDefault="004007BA" w:rsidP="008D17C2">
      <w:pPr>
        <w:pStyle w:val="FootnoteText"/>
        <w:rPr>
          <w:rFonts w:ascii="Times New Roman" w:hAnsi="Times New Roman" w:cs="Times New Roman"/>
          <w:i/>
          <w:sz w:val="18"/>
          <w:lang w:val="bg-BG"/>
        </w:rPr>
      </w:pPr>
      <w:r w:rsidRPr="004A3427">
        <w:rPr>
          <w:rStyle w:val="FootnoteReference"/>
          <w:rFonts w:ascii="Times New Roman" w:hAnsi="Times New Roman" w:cs="Times New Roman"/>
          <w:i/>
          <w:sz w:val="18"/>
          <w:lang w:val="bg-BG"/>
        </w:rPr>
        <w:footnoteRef/>
      </w:r>
      <w:r w:rsidRPr="004A3427">
        <w:rPr>
          <w:rFonts w:ascii="Times New Roman" w:hAnsi="Times New Roman" w:cs="Times New Roman"/>
          <w:i/>
          <w:sz w:val="18"/>
          <w:lang w:val="bg-BG"/>
        </w:rPr>
        <w:t xml:space="preserve"> За целите на настоящите Условия под „лице, което е официален представляващ на кандидата и е вписан като такъв в ТР и Регистъра на ЮЛНЦ“ следва да се разбира официален представител на предприятието, който е вписан като такъв в ТР и Регистъра на ЮЛНЦ</w:t>
      </w:r>
    </w:p>
  </w:footnote>
  <w:footnote w:id="21">
    <w:p w14:paraId="025D4DD9" w14:textId="77777777" w:rsidR="004007BA" w:rsidRPr="009A35B9" w:rsidRDefault="004007BA" w:rsidP="008D17C2">
      <w:pPr>
        <w:pStyle w:val="FootnoteText"/>
        <w:ind w:hanging="198"/>
        <w:rPr>
          <w:rFonts w:ascii="Times New Roman" w:hAnsi="Times New Roman" w:cs="Times New Roman"/>
          <w:i/>
          <w:sz w:val="18"/>
          <w:lang w:val="bg-BG"/>
        </w:rPr>
      </w:pPr>
      <w:r w:rsidRPr="009A35B9">
        <w:rPr>
          <w:rStyle w:val="FootnoteReference"/>
          <w:rFonts w:ascii="Times New Roman" w:hAnsi="Times New Roman" w:cs="Times New Roman"/>
          <w:i/>
          <w:sz w:val="18"/>
          <w:lang w:val="bg-BG"/>
        </w:rPr>
        <w:footnoteRef/>
      </w:r>
      <w:r w:rsidRPr="009A35B9">
        <w:rPr>
          <w:rFonts w:ascii="Times New Roman" w:hAnsi="Times New Roman" w:cs="Times New Roman"/>
          <w:i/>
          <w:sz w:val="18"/>
          <w:lang w:val="bg-BG"/>
        </w:rPr>
        <w:t xml:space="preserve"> Валиден КЕП е КЕП 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22">
    <w:p w14:paraId="1DD67E0F" w14:textId="29CD162F" w:rsidR="004007BA" w:rsidRPr="00E57C4A" w:rsidRDefault="004007BA">
      <w:pPr>
        <w:pStyle w:val="FootnoteText"/>
        <w:rPr>
          <w:rFonts w:ascii="Times New Roman" w:hAnsi="Times New Roman" w:cs="Times New Roman"/>
          <w:i/>
          <w:iCs/>
          <w:sz w:val="20"/>
          <w:lang w:val="bg-BG"/>
        </w:rPr>
      </w:pPr>
      <w:r w:rsidRPr="00E57C4A">
        <w:rPr>
          <w:rStyle w:val="FootnoteReference"/>
          <w:rFonts w:ascii="Times New Roman" w:hAnsi="Times New Roman" w:cs="Times New Roman"/>
          <w:i/>
          <w:iCs/>
          <w:sz w:val="20"/>
        </w:rPr>
        <w:footnoteRef/>
      </w:r>
      <w:r w:rsidRPr="00E57C4A">
        <w:rPr>
          <w:rFonts w:ascii="Times New Roman" w:hAnsi="Times New Roman" w:cs="Times New Roman"/>
          <w:i/>
          <w:iCs/>
          <w:sz w:val="20"/>
        </w:rPr>
        <w:t xml:space="preserve"> </w:t>
      </w:r>
      <w:r w:rsidRPr="00E57C4A">
        <w:rPr>
          <w:rFonts w:ascii="Times New Roman" w:hAnsi="Times New Roman" w:cs="Times New Roman"/>
          <w:i/>
          <w:iCs/>
          <w:sz w:val="20"/>
          <w:lang w:val="bg-BG"/>
        </w:rPr>
        <w:t>СНД ще публикува съобщение за полученото одобрение на ЕК на помощта.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5C38D" w14:textId="77777777" w:rsidR="004007BA" w:rsidRDefault="004007BA">
    <w:pPr>
      <w:pStyle w:val="Stext"/>
      <w:framePr w:wrap="around" w:vAnchor="text" w:hAnchor="margin" w:xAlign="center" w:y="1"/>
    </w:pPr>
    <w:r>
      <w:fldChar w:fldCharType="begin"/>
    </w:r>
    <w:r>
      <w:instrText xml:space="preserve">PAGE  </w:instrText>
    </w:r>
    <w:r>
      <w:fldChar w:fldCharType="separate"/>
    </w:r>
    <w:r>
      <w:rPr>
        <w:noProof/>
      </w:rP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CC631" w14:textId="242FF665" w:rsidR="004007BA" w:rsidRPr="00835668" w:rsidRDefault="004007BA" w:rsidP="006C19E1">
    <w:pPr>
      <w:pStyle w:val="Snumberofpages"/>
      <w:rPr>
        <w:rFonts w:ascii="Times New Roman" w:hAnsi="Times New Roman" w:cs="Times New Roman"/>
        <w:sz w:val="18"/>
        <w:szCs w:val="18"/>
        <w:lang w:val="bg-BG"/>
      </w:rPr>
    </w:pPr>
    <w:r w:rsidRPr="00835668">
      <w:rPr>
        <w:rFonts w:ascii="Times New Roman" w:hAnsi="Times New Roman" w:cs="Times New Roman"/>
        <w:sz w:val="18"/>
        <w:szCs w:val="18"/>
        <w:lang w:val="bg-BG"/>
      </w:rPr>
      <w:t>РАБОТЕН ПРОЕКТ</w:t>
    </w:r>
  </w:p>
  <w:p w14:paraId="3CE82222" w14:textId="41AD5788" w:rsidR="004007BA" w:rsidRPr="00835668" w:rsidRDefault="004007BA" w:rsidP="006C19E1">
    <w:pPr>
      <w:pStyle w:val="Snumberofpages"/>
      <w:rPr>
        <w:rFonts w:ascii="Times New Roman" w:hAnsi="Times New Roman" w:cs="Times New Roman"/>
        <w:sz w:val="18"/>
        <w:szCs w:val="18"/>
      </w:rPr>
    </w:pPr>
    <w:r w:rsidRPr="00835668">
      <w:rPr>
        <w:rFonts w:ascii="Times New Roman" w:hAnsi="Times New Roman" w:cs="Times New Roman"/>
        <w:sz w:val="18"/>
        <w:szCs w:val="18"/>
      </w:rPr>
      <w:t xml:space="preserve">- </w:t>
    </w:r>
    <w:r w:rsidRPr="00835668">
      <w:rPr>
        <w:rFonts w:ascii="Times New Roman" w:hAnsi="Times New Roman" w:cs="Times New Roman"/>
        <w:sz w:val="18"/>
        <w:szCs w:val="18"/>
      </w:rPr>
      <w:fldChar w:fldCharType="begin"/>
    </w:r>
    <w:r w:rsidRPr="00835668">
      <w:rPr>
        <w:rFonts w:ascii="Times New Roman" w:hAnsi="Times New Roman" w:cs="Times New Roman"/>
        <w:sz w:val="18"/>
        <w:szCs w:val="18"/>
      </w:rPr>
      <w:instrText xml:space="preserve"> PAGE </w:instrText>
    </w:r>
    <w:r w:rsidRPr="00835668">
      <w:rPr>
        <w:rFonts w:ascii="Times New Roman" w:hAnsi="Times New Roman" w:cs="Times New Roman"/>
        <w:sz w:val="18"/>
        <w:szCs w:val="18"/>
      </w:rPr>
      <w:fldChar w:fldCharType="separate"/>
    </w:r>
    <w:r w:rsidR="00294D25">
      <w:rPr>
        <w:rFonts w:ascii="Times New Roman" w:hAnsi="Times New Roman" w:cs="Times New Roman"/>
        <w:noProof/>
        <w:sz w:val="18"/>
        <w:szCs w:val="18"/>
      </w:rPr>
      <w:t>21</w:t>
    </w:r>
    <w:r w:rsidRPr="00835668">
      <w:rPr>
        <w:rFonts w:ascii="Times New Roman" w:hAnsi="Times New Roman" w:cs="Times New Roman"/>
        <w:noProof/>
        <w:sz w:val="18"/>
        <w:szCs w:val="18"/>
      </w:rPr>
      <w:fldChar w:fldCharType="end"/>
    </w:r>
    <w:r w:rsidRPr="00835668">
      <w:rPr>
        <w:rFonts w:ascii="Times New Roman" w:hAnsi="Times New Roman" w:cs="Times New Roman"/>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CF81B" w14:textId="7AC725C0" w:rsidR="004007BA" w:rsidRPr="00D16F15" w:rsidRDefault="004007BA" w:rsidP="004124F2">
    <w:pPr>
      <w:pStyle w:val="Stext"/>
      <w:ind w:left="2835"/>
      <w:rPr>
        <w:rFonts w:ascii="Times New Roman" w:hAnsi="Times New Roman" w:cs="Times New Roman"/>
        <w:lang w:val="bg-BG"/>
      </w:rPr>
    </w:pPr>
    <w:r w:rsidRPr="00D16F15">
      <w:rPr>
        <w:rFonts w:ascii="Times New Roman" w:hAnsi="Times New Roman" w:cs="Times New Roman"/>
        <w:noProof/>
        <w:lang w:val="bg-BG" w:eastAsia="bg-BG"/>
      </w:rPr>
      <w:drawing>
        <wp:anchor distT="0" distB="0" distL="114300" distR="114300" simplePos="0" relativeHeight="251658240" behindDoc="1" locked="0" layoutInCell="1" allowOverlap="1" wp14:anchorId="5115A12A" wp14:editId="0FC16CDC">
          <wp:simplePos x="0" y="0"/>
          <wp:positionH relativeFrom="margin">
            <wp:align>right</wp:align>
          </wp:positionH>
          <wp:positionV relativeFrom="paragraph">
            <wp:posOffset>66675</wp:posOffset>
          </wp:positionV>
          <wp:extent cx="2642235" cy="730250"/>
          <wp:effectExtent l="0" t="0" r="0" b="0"/>
          <wp:wrapNone/>
          <wp:docPr id="25" name="Picture 25"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a:ln>
                    <a:noFill/>
                  </a:ln>
                </pic:spPr>
              </pic:pic>
            </a:graphicData>
          </a:graphic>
        </wp:anchor>
      </w:drawing>
    </w:r>
    <w:r w:rsidRPr="00D16F15">
      <w:rPr>
        <w:rFonts w:ascii="Times New Roman" w:hAnsi="Times New Roman" w:cs="Times New Roman"/>
        <w:noProof/>
        <w:lang w:val="bg-BG" w:eastAsia="bg-BG"/>
      </w:rPr>
      <w:drawing>
        <wp:anchor distT="0" distB="0" distL="114300" distR="114300" simplePos="0" relativeHeight="251659264" behindDoc="1" locked="0" layoutInCell="1" allowOverlap="1" wp14:anchorId="1B4CDDA3" wp14:editId="43C02395">
          <wp:simplePos x="0" y="0"/>
          <wp:positionH relativeFrom="column">
            <wp:posOffset>156845</wp:posOffset>
          </wp:positionH>
          <wp:positionV relativeFrom="paragraph">
            <wp:posOffset>-168275</wp:posOffset>
          </wp:positionV>
          <wp:extent cx="1585595" cy="1146175"/>
          <wp:effectExtent l="0" t="0" r="0" b="0"/>
          <wp:wrapNone/>
          <wp:docPr id="26" name="Picture 26"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5595" cy="1146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4C12"/>
    <w:multiLevelType w:val="multilevel"/>
    <w:tmpl w:val="0402001D"/>
    <w:styleLink w:val="Style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4BB2704"/>
    <w:multiLevelType w:val="hybridMultilevel"/>
    <w:tmpl w:val="0D98C1DE"/>
    <w:lvl w:ilvl="0" w:tplc="887EEF88">
      <w:start w:val="4"/>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F11DDE"/>
    <w:multiLevelType w:val="hybridMultilevel"/>
    <w:tmpl w:val="2C844D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C73449B"/>
    <w:multiLevelType w:val="hybridMultilevel"/>
    <w:tmpl w:val="4694FD5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E946CED"/>
    <w:multiLevelType w:val="hybridMultilevel"/>
    <w:tmpl w:val="2E1C746E"/>
    <w:lvl w:ilvl="0" w:tplc="3CB420EA">
      <w:start w:val="1"/>
      <w:numFmt w:val="decimal"/>
      <w:suff w:val="nothing"/>
      <w:lvlText w:val="%1."/>
      <w:lvlJc w:val="left"/>
      <w:pPr>
        <w:ind w:left="510" w:hanging="51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116E56BD"/>
    <w:multiLevelType w:val="hybridMultilevel"/>
    <w:tmpl w:val="CC78C53A"/>
    <w:lvl w:ilvl="0" w:tplc="F996A9CA">
      <w:start w:val="1"/>
      <w:numFmt w:val="bullet"/>
      <w:lvlText w:val=""/>
      <w:lvlJc w:val="left"/>
      <w:pPr>
        <w:ind w:left="720" w:hanging="360"/>
      </w:pPr>
      <w:rPr>
        <w:rFonts w:ascii="Symbol" w:hAnsi="Symbol"/>
      </w:rPr>
    </w:lvl>
    <w:lvl w:ilvl="1" w:tplc="25A6D362">
      <w:start w:val="1"/>
      <w:numFmt w:val="bullet"/>
      <w:lvlText w:val=""/>
      <w:lvlJc w:val="left"/>
      <w:pPr>
        <w:ind w:left="720" w:hanging="360"/>
      </w:pPr>
      <w:rPr>
        <w:rFonts w:ascii="Symbol" w:hAnsi="Symbol"/>
      </w:rPr>
    </w:lvl>
    <w:lvl w:ilvl="2" w:tplc="0C9AAA5C">
      <w:start w:val="1"/>
      <w:numFmt w:val="bullet"/>
      <w:lvlText w:val=""/>
      <w:lvlJc w:val="left"/>
      <w:pPr>
        <w:ind w:left="720" w:hanging="360"/>
      </w:pPr>
      <w:rPr>
        <w:rFonts w:ascii="Symbol" w:hAnsi="Symbol"/>
      </w:rPr>
    </w:lvl>
    <w:lvl w:ilvl="3" w:tplc="0DF840FE">
      <w:start w:val="1"/>
      <w:numFmt w:val="bullet"/>
      <w:lvlText w:val=""/>
      <w:lvlJc w:val="left"/>
      <w:pPr>
        <w:ind w:left="720" w:hanging="360"/>
      </w:pPr>
      <w:rPr>
        <w:rFonts w:ascii="Symbol" w:hAnsi="Symbol"/>
      </w:rPr>
    </w:lvl>
    <w:lvl w:ilvl="4" w:tplc="A17C8DCA">
      <w:start w:val="1"/>
      <w:numFmt w:val="bullet"/>
      <w:lvlText w:val=""/>
      <w:lvlJc w:val="left"/>
      <w:pPr>
        <w:ind w:left="720" w:hanging="360"/>
      </w:pPr>
      <w:rPr>
        <w:rFonts w:ascii="Symbol" w:hAnsi="Symbol"/>
      </w:rPr>
    </w:lvl>
    <w:lvl w:ilvl="5" w:tplc="084C87DC">
      <w:start w:val="1"/>
      <w:numFmt w:val="bullet"/>
      <w:lvlText w:val=""/>
      <w:lvlJc w:val="left"/>
      <w:pPr>
        <w:ind w:left="720" w:hanging="360"/>
      </w:pPr>
      <w:rPr>
        <w:rFonts w:ascii="Symbol" w:hAnsi="Symbol"/>
      </w:rPr>
    </w:lvl>
    <w:lvl w:ilvl="6" w:tplc="857C7518">
      <w:start w:val="1"/>
      <w:numFmt w:val="bullet"/>
      <w:lvlText w:val=""/>
      <w:lvlJc w:val="left"/>
      <w:pPr>
        <w:ind w:left="720" w:hanging="360"/>
      </w:pPr>
      <w:rPr>
        <w:rFonts w:ascii="Symbol" w:hAnsi="Symbol"/>
      </w:rPr>
    </w:lvl>
    <w:lvl w:ilvl="7" w:tplc="A00C5A30">
      <w:start w:val="1"/>
      <w:numFmt w:val="bullet"/>
      <w:lvlText w:val=""/>
      <w:lvlJc w:val="left"/>
      <w:pPr>
        <w:ind w:left="720" w:hanging="360"/>
      </w:pPr>
      <w:rPr>
        <w:rFonts w:ascii="Symbol" w:hAnsi="Symbol"/>
      </w:rPr>
    </w:lvl>
    <w:lvl w:ilvl="8" w:tplc="48963130">
      <w:start w:val="1"/>
      <w:numFmt w:val="bullet"/>
      <w:lvlText w:val=""/>
      <w:lvlJc w:val="left"/>
      <w:pPr>
        <w:ind w:left="720" w:hanging="360"/>
      </w:pPr>
      <w:rPr>
        <w:rFonts w:ascii="Symbol" w:hAnsi="Symbol"/>
      </w:rPr>
    </w:lvl>
  </w:abstractNum>
  <w:abstractNum w:abstractNumId="6" w15:restartNumberingAfterBreak="0">
    <w:nsid w:val="11F10D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1">
    <w:nsid w:val="19A47314"/>
    <w:multiLevelType w:val="multilevel"/>
    <w:tmpl w:val="11344294"/>
    <w:name w:val="S heading_arb"/>
    <w:lvl w:ilvl="0">
      <w:start w:val="1"/>
      <w:numFmt w:val="upperRoman"/>
      <w:pStyle w:val="SheadingIarb"/>
      <w:lvlText w:val="%1."/>
      <w:lvlJc w:val="left"/>
      <w:pPr>
        <w:tabs>
          <w:tab w:val="num" w:pos="851"/>
        </w:tabs>
        <w:ind w:left="851" w:hanging="851"/>
      </w:pPr>
    </w:lvl>
    <w:lvl w:ilvl="1">
      <w:start w:val="1"/>
      <w:numFmt w:val="decimal"/>
      <w:pStyle w:val="Sheading1arb"/>
      <w:lvlText w:val="%2"/>
      <w:lvlJc w:val="left"/>
      <w:pPr>
        <w:tabs>
          <w:tab w:val="num" w:pos="851"/>
        </w:tabs>
        <w:ind w:left="851" w:hanging="851"/>
      </w:pPr>
    </w:lvl>
    <w:lvl w:ilvl="2">
      <w:start w:val="1"/>
      <w:numFmt w:val="decimal"/>
      <w:pStyle w:val="Sheading2arb"/>
      <w:lvlText w:val="%2.%3"/>
      <w:lvlJc w:val="left"/>
      <w:pPr>
        <w:tabs>
          <w:tab w:val="num" w:pos="851"/>
        </w:tabs>
        <w:ind w:left="851" w:hanging="851"/>
      </w:pPr>
    </w:lvl>
    <w:lvl w:ilvl="3">
      <w:start w:val="1"/>
      <w:numFmt w:val="decimal"/>
      <w:pStyle w:val="Sheading3arb"/>
      <w:lvlText w:val="%2.%3.%4"/>
      <w:lvlJc w:val="left"/>
      <w:pPr>
        <w:tabs>
          <w:tab w:val="num" w:pos="851"/>
        </w:tabs>
        <w:ind w:left="851" w:hanging="851"/>
      </w:pPr>
    </w:lvl>
    <w:lvl w:ilvl="4">
      <w:start w:val="1"/>
      <w:numFmt w:val="decimal"/>
      <w:pStyle w:val="Sheading4arb"/>
      <w:lvlText w:val="%2.%3.%4.%5"/>
      <w:lvlJc w:val="left"/>
      <w:pPr>
        <w:tabs>
          <w:tab w:val="num" w:pos="2269"/>
        </w:tabs>
        <w:ind w:left="2269" w:hanging="1418"/>
      </w:pPr>
    </w:lvl>
    <w:lvl w:ilvl="5">
      <w:start w:val="1"/>
      <w:numFmt w:val="decimal"/>
      <w:pStyle w:val="Sheading5arb"/>
      <w:lvlText w:val="%2.%3.%4.%5.%6"/>
      <w:lvlJc w:val="left"/>
      <w:pPr>
        <w:tabs>
          <w:tab w:val="num" w:pos="2269"/>
        </w:tabs>
        <w:ind w:left="2269" w:hanging="1418"/>
      </w:p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735FE5"/>
    <w:multiLevelType w:val="hybridMultilevel"/>
    <w:tmpl w:val="45146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F775B88"/>
    <w:multiLevelType w:val="hybridMultilevel"/>
    <w:tmpl w:val="12405D58"/>
    <w:lvl w:ilvl="0" w:tplc="04090001">
      <w:start w:val="1"/>
      <w:numFmt w:val="bullet"/>
      <w:lvlText w:val=""/>
      <w:lvlJc w:val="left"/>
      <w:pPr>
        <w:ind w:left="720" w:hanging="360"/>
      </w:pPr>
      <w:rPr>
        <w:rFonts w:ascii="Symbol" w:hAnsi="Symbol" w:hint="default"/>
      </w:rPr>
    </w:lvl>
    <w:lvl w:ilvl="1" w:tplc="6D4C6C36">
      <w:numFmt w:val="bullet"/>
      <w:lvlText w:val="-"/>
      <w:lvlJc w:val="left"/>
      <w:pPr>
        <w:ind w:left="1440" w:hanging="360"/>
      </w:pPr>
      <w:rPr>
        <w:rFonts w:ascii="Verdana" w:eastAsia="Times New Roman"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1">
    <w:nsid w:val="22A47319"/>
    <w:multiLevelType w:val="multilevel"/>
    <w:tmpl w:val="16454294"/>
    <w:name w:val="S headingL"/>
    <w:lvl w:ilvl="0">
      <w:start w:val="1"/>
      <w:numFmt w:val="upperRoman"/>
      <w:pStyle w:val="SheadingIL"/>
      <w:lvlText w:val="%1."/>
      <w:lvlJc w:val="left"/>
      <w:pPr>
        <w:tabs>
          <w:tab w:val="num" w:pos="964"/>
        </w:tabs>
        <w:ind w:left="964" w:hanging="964"/>
      </w:pPr>
    </w:lvl>
    <w:lvl w:ilvl="1">
      <w:start w:val="1"/>
      <w:numFmt w:val="decimal"/>
      <w:pStyle w:val="SheadingL1"/>
      <w:lvlText w:val="%2"/>
      <w:lvlJc w:val="left"/>
      <w:pPr>
        <w:tabs>
          <w:tab w:val="num" w:pos="964"/>
        </w:tabs>
        <w:ind w:left="964" w:hanging="964"/>
      </w:pPr>
    </w:lvl>
    <w:lvl w:ilvl="2">
      <w:start w:val="1"/>
      <w:numFmt w:val="decimal"/>
      <w:pStyle w:val="SheadingL2"/>
      <w:lvlText w:val="%2.%3"/>
      <w:lvlJc w:val="left"/>
      <w:pPr>
        <w:tabs>
          <w:tab w:val="num" w:pos="964"/>
        </w:tabs>
        <w:ind w:left="964" w:hanging="964"/>
      </w:pPr>
    </w:lvl>
    <w:lvl w:ilvl="3">
      <w:start w:val="1"/>
      <w:numFmt w:val="decimal"/>
      <w:pStyle w:val="SheadingL3"/>
      <w:lvlText w:val="%2.%3.%4"/>
      <w:lvlJc w:val="left"/>
      <w:pPr>
        <w:tabs>
          <w:tab w:val="num" w:pos="964"/>
        </w:tabs>
        <w:ind w:left="964" w:hanging="964"/>
      </w:pPr>
    </w:lvl>
    <w:lvl w:ilvl="4">
      <w:start w:val="1"/>
      <w:numFmt w:val="decimal"/>
      <w:pStyle w:val="SheadingL4"/>
      <w:lvlText w:val="%2.%3.%4.%5"/>
      <w:lvlJc w:val="left"/>
      <w:pPr>
        <w:tabs>
          <w:tab w:val="num" w:pos="964"/>
        </w:tabs>
        <w:ind w:left="964" w:hanging="964"/>
      </w:pPr>
    </w:lvl>
    <w:lvl w:ilvl="5">
      <w:start w:val="1"/>
      <w:numFmt w:val="decimal"/>
      <w:pStyle w:val="SheadingL5"/>
      <w:lvlText w:val="%2.%3.%4.%5.%6"/>
      <w:lvlJc w:val="left"/>
      <w:pPr>
        <w:tabs>
          <w:tab w:val="num" w:pos="964"/>
        </w:tabs>
        <w:ind w:left="964" w:hanging="964"/>
      </w:p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1">
    <w:nsid w:val="22A47320"/>
    <w:multiLevelType w:val="multilevel"/>
    <w:tmpl w:val="16454295"/>
    <w:name w:val="S headingM"/>
    <w:lvl w:ilvl="0">
      <w:start w:val="1"/>
      <w:numFmt w:val="upperRoman"/>
      <w:pStyle w:val="SheadingIM"/>
      <w:lvlText w:val="%1."/>
      <w:lvlJc w:val="left"/>
      <w:pPr>
        <w:tabs>
          <w:tab w:val="num" w:pos="964"/>
        </w:tabs>
        <w:ind w:left="964" w:hanging="964"/>
      </w:pPr>
    </w:lvl>
    <w:lvl w:ilvl="1">
      <w:start w:val="1"/>
      <w:numFmt w:val="decimal"/>
      <w:pStyle w:val="SheadingM1"/>
      <w:lvlText w:val="%2"/>
      <w:lvlJc w:val="left"/>
      <w:pPr>
        <w:tabs>
          <w:tab w:val="num" w:pos="964"/>
        </w:tabs>
        <w:ind w:left="964" w:hanging="964"/>
      </w:pPr>
    </w:lvl>
    <w:lvl w:ilvl="2">
      <w:start w:val="1"/>
      <w:numFmt w:val="decimal"/>
      <w:pStyle w:val="SheadingM2"/>
      <w:lvlText w:val="%2.%3"/>
      <w:lvlJc w:val="left"/>
      <w:pPr>
        <w:tabs>
          <w:tab w:val="num" w:pos="964"/>
        </w:tabs>
        <w:ind w:left="964" w:hanging="964"/>
      </w:pPr>
    </w:lvl>
    <w:lvl w:ilvl="3">
      <w:start w:val="1"/>
      <w:numFmt w:val="decimal"/>
      <w:pStyle w:val="SheadingM3"/>
      <w:lvlText w:val="%2.%3.%4"/>
      <w:lvlJc w:val="left"/>
      <w:pPr>
        <w:tabs>
          <w:tab w:val="num" w:pos="964"/>
        </w:tabs>
        <w:ind w:left="964" w:hanging="964"/>
      </w:pPr>
    </w:lvl>
    <w:lvl w:ilvl="4">
      <w:start w:val="1"/>
      <w:numFmt w:val="decimal"/>
      <w:pStyle w:val="SheadingM4"/>
      <w:lvlText w:val="%2.%3.%4.%5"/>
      <w:lvlJc w:val="left"/>
      <w:pPr>
        <w:tabs>
          <w:tab w:val="num" w:pos="964"/>
        </w:tabs>
        <w:ind w:left="964" w:hanging="964"/>
      </w:pPr>
    </w:lvl>
    <w:lvl w:ilvl="5">
      <w:start w:val="1"/>
      <w:numFmt w:val="decimal"/>
      <w:pStyle w:val="SheadingM5"/>
      <w:lvlText w:val="%2.%3.%4.%5.%6"/>
      <w:lvlJc w:val="left"/>
      <w:pPr>
        <w:tabs>
          <w:tab w:val="num" w:pos="964"/>
        </w:tabs>
        <w:ind w:left="964" w:hanging="964"/>
      </w:p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1">
    <w:nsid w:val="22A47321"/>
    <w:multiLevelType w:val="multilevel"/>
    <w:tmpl w:val="16454296"/>
    <w:name w:val="S headingR"/>
    <w:lvl w:ilvl="0">
      <w:start w:val="1"/>
      <w:numFmt w:val="upperRoman"/>
      <w:pStyle w:val="SheadingIR"/>
      <w:lvlText w:val="%1."/>
      <w:lvlJc w:val="left"/>
      <w:pPr>
        <w:tabs>
          <w:tab w:val="num" w:pos="964"/>
        </w:tabs>
        <w:ind w:left="964" w:hanging="964"/>
      </w:pPr>
    </w:lvl>
    <w:lvl w:ilvl="1">
      <w:start w:val="1"/>
      <w:numFmt w:val="decimal"/>
      <w:pStyle w:val="SheadingR1"/>
      <w:lvlText w:val="%2"/>
      <w:lvlJc w:val="left"/>
      <w:pPr>
        <w:tabs>
          <w:tab w:val="num" w:pos="964"/>
        </w:tabs>
        <w:ind w:left="964" w:hanging="964"/>
      </w:pPr>
    </w:lvl>
    <w:lvl w:ilvl="2">
      <w:start w:val="1"/>
      <w:numFmt w:val="decimal"/>
      <w:pStyle w:val="SheadingR2"/>
      <w:lvlText w:val="%2.%3"/>
      <w:lvlJc w:val="left"/>
      <w:pPr>
        <w:tabs>
          <w:tab w:val="num" w:pos="964"/>
        </w:tabs>
        <w:ind w:left="964" w:hanging="964"/>
      </w:pPr>
    </w:lvl>
    <w:lvl w:ilvl="3">
      <w:start w:val="1"/>
      <w:numFmt w:val="decimal"/>
      <w:pStyle w:val="SheadingR3"/>
      <w:lvlText w:val="%2.%3.%4"/>
      <w:lvlJc w:val="left"/>
      <w:pPr>
        <w:tabs>
          <w:tab w:val="num" w:pos="964"/>
        </w:tabs>
        <w:ind w:left="964" w:hanging="964"/>
      </w:pPr>
    </w:lvl>
    <w:lvl w:ilvl="4">
      <w:start w:val="1"/>
      <w:numFmt w:val="decimal"/>
      <w:pStyle w:val="SheadingR4"/>
      <w:lvlText w:val="%2.%3.%4.%5"/>
      <w:lvlJc w:val="left"/>
      <w:pPr>
        <w:tabs>
          <w:tab w:val="num" w:pos="964"/>
        </w:tabs>
        <w:ind w:left="964" w:hanging="964"/>
      </w:pPr>
    </w:lvl>
    <w:lvl w:ilvl="5">
      <w:start w:val="1"/>
      <w:numFmt w:val="decimal"/>
      <w:pStyle w:val="SheadingR5"/>
      <w:lvlText w:val="%2.%3.%4.%5.%6"/>
      <w:lvlJc w:val="left"/>
      <w:pPr>
        <w:tabs>
          <w:tab w:val="num" w:pos="964"/>
        </w:tabs>
        <w:ind w:left="964" w:hanging="964"/>
      </w:p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27EE8"/>
    <w:multiLevelType w:val="hybridMultilevel"/>
    <w:tmpl w:val="1586FF3A"/>
    <w:lvl w:ilvl="0" w:tplc="E9363D54">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3523653"/>
    <w:multiLevelType w:val="hybridMultilevel"/>
    <w:tmpl w:val="FB58EA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1">
    <w:nsid w:val="23A47314"/>
    <w:multiLevelType w:val="multilevel"/>
    <w:tmpl w:val="16344294"/>
    <w:name w:val="S heading"/>
    <w:lvl w:ilvl="0">
      <w:start w:val="1"/>
      <w:numFmt w:val="upperRoman"/>
      <w:pStyle w:val="SheadingI"/>
      <w:lvlText w:val="%1."/>
      <w:lvlJc w:val="left"/>
      <w:pPr>
        <w:tabs>
          <w:tab w:val="num" w:pos="680"/>
        </w:tabs>
        <w:ind w:left="680" w:hanging="680"/>
      </w:pPr>
    </w:lvl>
    <w:lvl w:ilvl="1">
      <w:start w:val="1"/>
      <w:numFmt w:val="decimal"/>
      <w:pStyle w:val="Sheading1"/>
      <w:lvlText w:val="%2"/>
      <w:lvlJc w:val="left"/>
      <w:pPr>
        <w:tabs>
          <w:tab w:val="num" w:pos="680"/>
        </w:tabs>
        <w:ind w:left="680" w:hanging="680"/>
      </w:pPr>
    </w:lvl>
    <w:lvl w:ilvl="2">
      <w:start w:val="1"/>
      <w:numFmt w:val="decimal"/>
      <w:pStyle w:val="Sheading2"/>
      <w:lvlText w:val="%2.%3"/>
      <w:lvlJc w:val="left"/>
      <w:pPr>
        <w:tabs>
          <w:tab w:val="num" w:pos="680"/>
        </w:tabs>
        <w:ind w:left="680" w:hanging="680"/>
      </w:pPr>
    </w:lvl>
    <w:lvl w:ilvl="3">
      <w:start w:val="1"/>
      <w:numFmt w:val="decimal"/>
      <w:pStyle w:val="Sheading3"/>
      <w:lvlText w:val="%2.%3.%4"/>
      <w:lvlJc w:val="left"/>
      <w:pPr>
        <w:tabs>
          <w:tab w:val="num" w:pos="1531"/>
        </w:tabs>
        <w:ind w:left="1531" w:hanging="851"/>
      </w:pPr>
    </w:lvl>
    <w:lvl w:ilvl="4">
      <w:start w:val="1"/>
      <w:numFmt w:val="decimal"/>
      <w:pStyle w:val="Sheading4"/>
      <w:lvlText w:val="%2.%3.%4.%5"/>
      <w:lvlJc w:val="left"/>
      <w:pPr>
        <w:tabs>
          <w:tab w:val="num" w:pos="2778"/>
        </w:tabs>
        <w:ind w:left="2778" w:hanging="1247"/>
      </w:pPr>
    </w:lvl>
    <w:lvl w:ilvl="5">
      <w:start w:val="1"/>
      <w:numFmt w:val="decimal"/>
      <w:pStyle w:val="Sheading5"/>
      <w:lvlText w:val="%2.%3.%4.%5.%6"/>
      <w:lvlJc w:val="left"/>
      <w:pPr>
        <w:tabs>
          <w:tab w:val="num" w:pos="2778"/>
        </w:tabs>
        <w:ind w:left="2778" w:hanging="1247"/>
      </w:p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1">
    <w:nsid w:val="23A47319"/>
    <w:multiLevelType w:val="multilevel"/>
    <w:tmpl w:val="16344298"/>
    <w:name w:val="S Schedule"/>
    <w:lvl w:ilvl="0">
      <w:start w:val="1"/>
      <w:numFmt w:val="decimal"/>
      <w:lvlText w:val=""/>
      <w:lvlJc w:val="left"/>
    </w:lvl>
    <w:lvl w:ilvl="1">
      <w:start w:val="1"/>
      <w:numFmt w:val="decimal"/>
      <w:pStyle w:val="SSchedule1"/>
      <w:lvlText w:val="%2"/>
      <w:lvlJc w:val="left"/>
      <w:pPr>
        <w:tabs>
          <w:tab w:val="num" w:pos="680"/>
        </w:tabs>
        <w:ind w:left="680" w:hanging="680"/>
      </w:pPr>
    </w:lvl>
    <w:lvl w:ilvl="2">
      <w:start w:val="1"/>
      <w:numFmt w:val="decimal"/>
      <w:pStyle w:val="SSchedule2"/>
      <w:lvlText w:val="%2.%3"/>
      <w:lvlJc w:val="left"/>
      <w:pPr>
        <w:tabs>
          <w:tab w:val="num" w:pos="680"/>
        </w:tabs>
        <w:ind w:left="680" w:hanging="680"/>
      </w:pPr>
    </w:lvl>
    <w:lvl w:ilvl="3">
      <w:start w:val="1"/>
      <w:numFmt w:val="decimal"/>
      <w:pStyle w:val="SSchedule3"/>
      <w:lvlText w:val="%2.%3.%4"/>
      <w:lvlJc w:val="left"/>
      <w:pPr>
        <w:tabs>
          <w:tab w:val="num" w:pos="1531"/>
        </w:tabs>
        <w:ind w:left="1531" w:hanging="851"/>
      </w:pPr>
    </w:lvl>
    <w:lvl w:ilvl="4">
      <w:start w:val="1"/>
      <w:numFmt w:val="decimal"/>
      <w:pStyle w:val="SSchedule4"/>
      <w:lvlText w:val="%2.%3.%4.%5"/>
      <w:lvlJc w:val="left"/>
      <w:pPr>
        <w:tabs>
          <w:tab w:val="num" w:pos="2778"/>
        </w:tabs>
        <w:ind w:left="2778" w:hanging="1247"/>
      </w:pPr>
    </w:lvl>
    <w:lvl w:ilvl="5">
      <w:start w:val="1"/>
      <w:numFmt w:val="decimal"/>
      <w:pStyle w:val="SSchedule5"/>
      <w:lvlText w:val="%2.%3.%4.%5.%6"/>
      <w:lvlJc w:val="left"/>
      <w:pPr>
        <w:tabs>
          <w:tab w:val="num" w:pos="2778"/>
        </w:tabs>
        <w:ind w:left="2778" w:hanging="1247"/>
      </w:p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B47314"/>
    <w:multiLevelType w:val="multilevel"/>
    <w:tmpl w:val="26344011"/>
    <w:name w:val="S list i"/>
    <w:lvl w:ilvl="0">
      <w:start w:val="1"/>
      <w:numFmt w:val="lowerRoman"/>
      <w:lvlText w:val=""/>
      <w:lvlJc w:val="left"/>
    </w:lvl>
    <w:lvl w:ilvl="1">
      <w:start w:val="1"/>
      <w:numFmt w:val="lowerRoman"/>
      <w:lvlText w:val="(%2)"/>
      <w:lvlJc w:val="left"/>
      <w:pPr>
        <w:tabs>
          <w:tab w:val="num" w:pos="680"/>
        </w:tabs>
        <w:ind w:left="680" w:hanging="680"/>
      </w:pPr>
    </w:lvl>
    <w:lvl w:ilvl="2">
      <w:start w:val="1"/>
      <w:numFmt w:val="lowerRoman"/>
      <w:lvlText w:val="(%3)"/>
      <w:lvlJc w:val="left"/>
      <w:pPr>
        <w:tabs>
          <w:tab w:val="num" w:pos="1531"/>
        </w:tabs>
        <w:ind w:left="1531" w:hanging="851"/>
      </w:pPr>
    </w:lvl>
    <w:lvl w:ilvl="3">
      <w:start w:val="1"/>
      <w:numFmt w:val="lowerRoman"/>
      <w:lvlText w:val="(%4)"/>
      <w:lvlJc w:val="left"/>
      <w:pPr>
        <w:tabs>
          <w:tab w:val="num" w:pos="1531"/>
        </w:tabs>
        <w:ind w:left="1531" w:hanging="851"/>
      </w:pPr>
    </w:lvl>
    <w:lvl w:ilvl="4">
      <w:start w:val="1"/>
      <w:numFmt w:val="lowerRoman"/>
      <w:lvlText w:val="(%5)"/>
      <w:lvlJc w:val="left"/>
      <w:pPr>
        <w:tabs>
          <w:tab w:val="num" w:pos="2778"/>
        </w:tabs>
        <w:ind w:left="2778" w:hanging="1247"/>
      </w:pPr>
    </w:lvl>
    <w:lvl w:ilvl="5">
      <w:start w:val="1"/>
      <w:numFmt w:val="lowerRoman"/>
      <w:lvlText w:val="(%6)"/>
      <w:lvlJc w:val="left"/>
      <w:pPr>
        <w:tabs>
          <w:tab w:val="num" w:pos="4025"/>
        </w:tabs>
        <w:ind w:left="4025" w:hanging="1247"/>
      </w:pPr>
    </w:lvl>
    <w:lvl w:ilvl="6">
      <w:start w:val="1"/>
      <w:numFmt w:val="lowerRoman"/>
      <w:lvlText w:val="(%7)"/>
      <w:lvlJc w:val="left"/>
      <w:pPr>
        <w:tabs>
          <w:tab w:val="num" w:pos="4025"/>
        </w:tabs>
        <w:ind w:left="4025" w:hanging="1247"/>
      </w:pPr>
    </w:lvl>
    <w:lvl w:ilvl="7">
      <w:start w:val="1"/>
      <w:numFmt w:val="lowerRoman"/>
      <w:lvlText w:val="(%8)"/>
      <w:lvlJc w:val="left"/>
      <w:pPr>
        <w:tabs>
          <w:tab w:val="num" w:pos="1814"/>
        </w:tabs>
        <w:ind w:left="1814" w:hanging="850"/>
      </w:pPr>
    </w:lvl>
    <w:lvl w:ilvl="8">
      <w:numFmt w:val="decimal"/>
      <w:lvlText w:val=""/>
      <w:lvlJc w:val="left"/>
    </w:lvl>
  </w:abstractNum>
  <w:abstractNum w:abstractNumId="18" w15:restartNumberingAfterBreak="0">
    <w:nsid w:val="23B75114"/>
    <w:multiLevelType w:val="multilevel"/>
    <w:tmpl w:val="26304111"/>
    <w:name w:val="S list iR"/>
    <w:lvl w:ilvl="0">
      <w:start w:val="1"/>
      <w:numFmt w:val="lowerRoman"/>
      <w:lvlText w:val=""/>
      <w:lvlJc w:val="left"/>
    </w:lvl>
    <w:lvl w:ilvl="1">
      <w:start w:val="1"/>
      <w:numFmt w:val="lowerRoman"/>
      <w:lvlText w:val="(%2)"/>
      <w:lvlJc w:val="left"/>
      <w:pPr>
        <w:tabs>
          <w:tab w:val="num" w:pos="680"/>
        </w:tabs>
        <w:ind w:left="680" w:hanging="680"/>
      </w:pPr>
    </w:lvl>
    <w:lvl w:ilvl="2">
      <w:start w:val="1"/>
      <w:numFmt w:val="lowerRoman"/>
      <w:lvlText w:val="(%3)"/>
      <w:lvlJc w:val="left"/>
      <w:pPr>
        <w:tabs>
          <w:tab w:val="num" w:pos="1531"/>
        </w:tabs>
        <w:ind w:left="1531" w:hanging="851"/>
      </w:pPr>
    </w:lvl>
    <w:lvl w:ilvl="3">
      <w:start w:val="1"/>
      <w:numFmt w:val="lowerRoman"/>
      <w:lvlText w:val="(%4)"/>
      <w:lvlJc w:val="left"/>
      <w:pPr>
        <w:tabs>
          <w:tab w:val="num" w:pos="1531"/>
        </w:tabs>
        <w:ind w:left="1531" w:hanging="851"/>
      </w:pPr>
    </w:lvl>
    <w:lvl w:ilvl="4">
      <w:start w:val="1"/>
      <w:numFmt w:val="lowerRoman"/>
      <w:lvlText w:val="(%5)"/>
      <w:lvlJc w:val="left"/>
      <w:pPr>
        <w:tabs>
          <w:tab w:val="num" w:pos="2778"/>
        </w:tabs>
        <w:ind w:left="2778" w:hanging="1247"/>
      </w:pPr>
    </w:lvl>
    <w:lvl w:ilvl="5">
      <w:start w:val="1"/>
      <w:numFmt w:val="lowerRoman"/>
      <w:lvlText w:val="(%6)"/>
      <w:lvlJc w:val="left"/>
      <w:pPr>
        <w:tabs>
          <w:tab w:val="num" w:pos="4025"/>
        </w:tabs>
        <w:ind w:left="4025" w:hanging="1247"/>
      </w:pPr>
    </w:lvl>
    <w:lvl w:ilvl="6">
      <w:start w:val="1"/>
      <w:numFmt w:val="lowerRoman"/>
      <w:lvlText w:val="(%7)"/>
      <w:lvlJc w:val="left"/>
      <w:pPr>
        <w:tabs>
          <w:tab w:val="num" w:pos="4025"/>
        </w:tabs>
        <w:ind w:left="4025" w:hanging="1247"/>
      </w:pPr>
    </w:lvl>
    <w:lvl w:ilvl="7">
      <w:start w:val="1"/>
      <w:numFmt w:val="lowerRoman"/>
      <w:lvlText w:val="(%8)"/>
      <w:lvlJc w:val="left"/>
      <w:pPr>
        <w:tabs>
          <w:tab w:val="num" w:pos="1814"/>
        </w:tabs>
        <w:ind w:left="1814" w:hanging="850"/>
      </w:pPr>
    </w:lvl>
    <w:lvl w:ilvl="8">
      <w:numFmt w:val="decimal"/>
      <w:lvlText w:val=""/>
      <w:lvlJc w:val="left"/>
    </w:lvl>
  </w:abstractNum>
  <w:abstractNum w:abstractNumId="19" w15:restartNumberingAfterBreak="0">
    <w:nsid w:val="23C36914"/>
    <w:multiLevelType w:val="multilevel"/>
    <w:tmpl w:val="36349515"/>
    <w:name w:val="S list AR"/>
    <w:lvl w:ilvl="0">
      <w:start w:val="1"/>
      <w:numFmt w:val="upperLetter"/>
      <w:lvlText w:val=""/>
      <w:lvlJc w:val="left"/>
    </w:lvl>
    <w:lvl w:ilvl="1">
      <w:start w:val="1"/>
      <w:numFmt w:val="upperLetter"/>
      <w:lvlText w:val="(%2)"/>
      <w:lvlJc w:val="left"/>
      <w:pPr>
        <w:tabs>
          <w:tab w:val="num" w:pos="680"/>
        </w:tabs>
        <w:ind w:left="680" w:hanging="680"/>
      </w:pPr>
    </w:lvl>
    <w:lvl w:ilvl="2">
      <w:start w:val="1"/>
      <w:numFmt w:val="upperLetter"/>
      <w:lvlText w:val="(%3)"/>
      <w:lvlJc w:val="left"/>
      <w:pPr>
        <w:tabs>
          <w:tab w:val="num" w:pos="1531"/>
        </w:tabs>
        <w:ind w:left="1531" w:hanging="851"/>
      </w:pPr>
    </w:lvl>
    <w:lvl w:ilvl="3">
      <w:start w:val="1"/>
      <w:numFmt w:val="upperLetter"/>
      <w:lvlText w:val="(%4)"/>
      <w:lvlJc w:val="left"/>
      <w:pPr>
        <w:tabs>
          <w:tab w:val="num" w:pos="1531"/>
        </w:tabs>
        <w:ind w:left="1531" w:hanging="851"/>
      </w:pPr>
    </w:lvl>
    <w:lvl w:ilvl="4">
      <w:start w:val="1"/>
      <w:numFmt w:val="upperLetter"/>
      <w:lvlText w:val="(%5)"/>
      <w:lvlJc w:val="left"/>
      <w:pPr>
        <w:tabs>
          <w:tab w:val="num" w:pos="2778"/>
        </w:tabs>
        <w:ind w:left="2778" w:hanging="1247"/>
      </w:pPr>
    </w:lvl>
    <w:lvl w:ilvl="5">
      <w:start w:val="1"/>
      <w:numFmt w:val="upperLetter"/>
      <w:lvlText w:val="(%6)"/>
      <w:lvlJc w:val="left"/>
      <w:pPr>
        <w:tabs>
          <w:tab w:val="num" w:pos="4025"/>
        </w:tabs>
        <w:ind w:left="4025" w:hanging="1247"/>
      </w:pPr>
    </w:lvl>
    <w:lvl w:ilvl="6">
      <w:start w:val="1"/>
      <w:numFmt w:val="upperLetter"/>
      <w:lvlText w:val="(%7)"/>
      <w:lvlJc w:val="left"/>
      <w:pPr>
        <w:tabs>
          <w:tab w:val="num" w:pos="4025"/>
        </w:tabs>
        <w:ind w:left="4025" w:hanging="1247"/>
      </w:pPr>
    </w:lvl>
    <w:lvl w:ilvl="7">
      <w:start w:val="1"/>
      <w:numFmt w:val="upperLetter"/>
      <w:lvlText w:val="(%8)"/>
      <w:lvlJc w:val="left"/>
      <w:pPr>
        <w:tabs>
          <w:tab w:val="num" w:pos="1814"/>
        </w:tabs>
        <w:ind w:left="1814" w:hanging="850"/>
      </w:pPr>
    </w:lvl>
    <w:lvl w:ilvl="8">
      <w:numFmt w:val="decimal"/>
      <w:lvlText w:val=""/>
      <w:lvlJc w:val="left"/>
    </w:lvl>
  </w:abstractNum>
  <w:abstractNum w:abstractNumId="20" w15:restartNumberingAfterBreak="0">
    <w:nsid w:val="23C46939"/>
    <w:multiLevelType w:val="multilevel"/>
    <w:tmpl w:val="36341317"/>
    <w:name w:val="S list 1R"/>
    <w:lvl w:ilvl="0">
      <w:start w:val="1"/>
      <w:numFmt w:val="decimal"/>
      <w:lvlText w:val=""/>
      <w:lvlJc w:val="left"/>
    </w:lvl>
    <w:lvl w:ilvl="1">
      <w:start w:val="1"/>
      <w:numFmt w:val="decimal"/>
      <w:lvlText w:val="%2."/>
      <w:lvlJc w:val="left"/>
      <w:pPr>
        <w:tabs>
          <w:tab w:val="num" w:pos="680"/>
        </w:tabs>
        <w:ind w:left="680" w:hanging="680"/>
      </w:pPr>
    </w:lvl>
    <w:lvl w:ilvl="2">
      <w:start w:val="1"/>
      <w:numFmt w:val="decimal"/>
      <w:lvlText w:val="%3."/>
      <w:lvlJc w:val="left"/>
      <w:pPr>
        <w:tabs>
          <w:tab w:val="num" w:pos="1531"/>
        </w:tabs>
        <w:ind w:left="1531" w:hanging="851"/>
      </w:pPr>
    </w:lvl>
    <w:lvl w:ilvl="3">
      <w:start w:val="1"/>
      <w:numFmt w:val="decimal"/>
      <w:lvlText w:val="%4."/>
      <w:lvlJc w:val="left"/>
      <w:pPr>
        <w:tabs>
          <w:tab w:val="num" w:pos="1531"/>
        </w:tabs>
        <w:ind w:left="1531" w:hanging="851"/>
      </w:pPr>
    </w:lvl>
    <w:lvl w:ilvl="4">
      <w:start w:val="1"/>
      <w:numFmt w:val="decimal"/>
      <w:lvlText w:val="%5."/>
      <w:lvlJc w:val="left"/>
      <w:pPr>
        <w:tabs>
          <w:tab w:val="num" w:pos="2778"/>
        </w:tabs>
        <w:ind w:left="2778" w:hanging="1247"/>
      </w:pPr>
    </w:lvl>
    <w:lvl w:ilvl="5">
      <w:start w:val="1"/>
      <w:numFmt w:val="decimal"/>
      <w:lvlText w:val="%6."/>
      <w:lvlJc w:val="left"/>
      <w:pPr>
        <w:tabs>
          <w:tab w:val="num" w:pos="4025"/>
        </w:tabs>
        <w:ind w:left="4025" w:hanging="1247"/>
      </w:pPr>
    </w:lvl>
    <w:lvl w:ilvl="6">
      <w:start w:val="1"/>
      <w:numFmt w:val="decimal"/>
      <w:lvlText w:val="%7."/>
      <w:lvlJc w:val="left"/>
      <w:pPr>
        <w:tabs>
          <w:tab w:val="num" w:pos="4025"/>
        </w:tabs>
        <w:ind w:left="4025" w:hanging="1247"/>
      </w:pPr>
    </w:lvl>
    <w:lvl w:ilvl="7">
      <w:start w:val="1"/>
      <w:numFmt w:val="decimal"/>
      <w:lvlText w:val="%8."/>
      <w:lvlJc w:val="left"/>
      <w:pPr>
        <w:tabs>
          <w:tab w:val="num" w:pos="1814"/>
        </w:tabs>
        <w:ind w:left="1814" w:hanging="850"/>
      </w:pPr>
    </w:lvl>
    <w:lvl w:ilvl="8">
      <w:numFmt w:val="decimal"/>
      <w:lvlText w:val=""/>
      <w:lvlJc w:val="left"/>
    </w:lvl>
  </w:abstractNum>
  <w:abstractNum w:abstractNumId="21" w15:restartNumberingAfterBreak="0">
    <w:nsid w:val="23C47314"/>
    <w:multiLevelType w:val="multilevel"/>
    <w:tmpl w:val="36344015"/>
    <w:name w:val="S list A"/>
    <w:lvl w:ilvl="0">
      <w:start w:val="1"/>
      <w:numFmt w:val="upperLetter"/>
      <w:lvlText w:val=""/>
      <w:lvlJc w:val="left"/>
    </w:lvl>
    <w:lvl w:ilvl="1">
      <w:start w:val="1"/>
      <w:numFmt w:val="upperLetter"/>
      <w:lvlText w:val="(%2)"/>
      <w:lvlJc w:val="left"/>
      <w:pPr>
        <w:tabs>
          <w:tab w:val="num" w:pos="680"/>
        </w:tabs>
        <w:ind w:left="680" w:hanging="680"/>
      </w:pPr>
    </w:lvl>
    <w:lvl w:ilvl="2">
      <w:start w:val="1"/>
      <w:numFmt w:val="upperLetter"/>
      <w:lvlText w:val="(%3)"/>
      <w:lvlJc w:val="left"/>
      <w:pPr>
        <w:tabs>
          <w:tab w:val="num" w:pos="1531"/>
        </w:tabs>
        <w:ind w:left="1531" w:hanging="851"/>
      </w:pPr>
    </w:lvl>
    <w:lvl w:ilvl="3">
      <w:start w:val="1"/>
      <w:numFmt w:val="upperLetter"/>
      <w:lvlText w:val="(%4)"/>
      <w:lvlJc w:val="left"/>
      <w:pPr>
        <w:tabs>
          <w:tab w:val="num" w:pos="1531"/>
        </w:tabs>
        <w:ind w:left="1531" w:hanging="851"/>
      </w:pPr>
    </w:lvl>
    <w:lvl w:ilvl="4">
      <w:start w:val="1"/>
      <w:numFmt w:val="upperLetter"/>
      <w:lvlText w:val="(%5)"/>
      <w:lvlJc w:val="left"/>
      <w:pPr>
        <w:tabs>
          <w:tab w:val="num" w:pos="2778"/>
        </w:tabs>
        <w:ind w:left="2778" w:hanging="1247"/>
      </w:pPr>
    </w:lvl>
    <w:lvl w:ilvl="5">
      <w:numFmt w:val="decimal"/>
      <w:lvlText w:val="(%6)"/>
      <w:lvlJc w:val="left"/>
      <w:pPr>
        <w:tabs>
          <w:tab w:val="num" w:pos="4025"/>
        </w:tabs>
        <w:ind w:left="4025" w:hanging="1247"/>
      </w:pPr>
    </w:lvl>
    <w:lvl w:ilvl="6">
      <w:numFmt w:val="decimal"/>
      <w:lvlText w:val="(%7)"/>
      <w:lvlJc w:val="left"/>
      <w:pPr>
        <w:tabs>
          <w:tab w:val="num" w:pos="4025"/>
        </w:tabs>
        <w:ind w:left="4025" w:hanging="1247"/>
      </w:pPr>
    </w:lvl>
    <w:lvl w:ilvl="7">
      <w:start w:val="1"/>
      <w:numFmt w:val="upperLetter"/>
      <w:lvlText w:val="(%8)"/>
      <w:lvlJc w:val="left"/>
      <w:pPr>
        <w:tabs>
          <w:tab w:val="num" w:pos="1814"/>
        </w:tabs>
        <w:ind w:left="1814" w:hanging="850"/>
      </w:pPr>
    </w:lvl>
    <w:lvl w:ilvl="8">
      <w:numFmt w:val="decimal"/>
      <w:lvlText w:val=""/>
      <w:lvlJc w:val="left"/>
    </w:lvl>
  </w:abstractNum>
  <w:abstractNum w:abstractNumId="22" w15:restartNumberingAfterBreak="0">
    <w:nsid w:val="23C47319"/>
    <w:multiLevelType w:val="multilevel"/>
    <w:tmpl w:val="36344017"/>
    <w:name w:val="S list 1"/>
    <w:lvl w:ilvl="0">
      <w:start w:val="1"/>
      <w:numFmt w:val="decimal"/>
      <w:lvlText w:val=""/>
      <w:lvlJc w:val="left"/>
    </w:lvl>
    <w:lvl w:ilvl="1">
      <w:start w:val="1"/>
      <w:numFmt w:val="decimal"/>
      <w:lvlText w:val="%2."/>
      <w:lvlJc w:val="left"/>
      <w:pPr>
        <w:tabs>
          <w:tab w:val="num" w:pos="680"/>
        </w:tabs>
        <w:ind w:left="680" w:hanging="680"/>
      </w:pPr>
    </w:lvl>
    <w:lvl w:ilvl="2">
      <w:start w:val="1"/>
      <w:numFmt w:val="decimal"/>
      <w:lvlText w:val="%3."/>
      <w:lvlJc w:val="left"/>
      <w:pPr>
        <w:tabs>
          <w:tab w:val="num" w:pos="1531"/>
        </w:tabs>
        <w:ind w:left="1531" w:hanging="851"/>
      </w:pPr>
    </w:lvl>
    <w:lvl w:ilvl="3">
      <w:start w:val="1"/>
      <w:numFmt w:val="decimal"/>
      <w:lvlText w:val="%4."/>
      <w:lvlJc w:val="left"/>
      <w:pPr>
        <w:tabs>
          <w:tab w:val="num" w:pos="1531"/>
        </w:tabs>
        <w:ind w:left="1531" w:hanging="851"/>
      </w:pPr>
    </w:lvl>
    <w:lvl w:ilvl="4">
      <w:start w:val="1"/>
      <w:numFmt w:val="decimal"/>
      <w:lvlText w:val="%5."/>
      <w:lvlJc w:val="left"/>
      <w:pPr>
        <w:tabs>
          <w:tab w:val="num" w:pos="2778"/>
        </w:tabs>
        <w:ind w:left="2778" w:hanging="1247"/>
      </w:pPr>
    </w:lvl>
    <w:lvl w:ilvl="5">
      <w:start w:val="1"/>
      <w:numFmt w:val="decimal"/>
      <w:lvlText w:val="%6."/>
      <w:lvlJc w:val="left"/>
      <w:pPr>
        <w:tabs>
          <w:tab w:val="num" w:pos="4025"/>
        </w:tabs>
        <w:ind w:left="4025" w:hanging="1247"/>
      </w:pPr>
    </w:lvl>
    <w:lvl w:ilvl="6">
      <w:start w:val="1"/>
      <w:numFmt w:val="decimal"/>
      <w:lvlText w:val="%7."/>
      <w:lvlJc w:val="left"/>
      <w:pPr>
        <w:tabs>
          <w:tab w:val="num" w:pos="4025"/>
        </w:tabs>
        <w:ind w:left="4025" w:hanging="1247"/>
      </w:pPr>
    </w:lvl>
    <w:lvl w:ilvl="7">
      <w:start w:val="1"/>
      <w:numFmt w:val="decimal"/>
      <w:lvlText w:val="%8."/>
      <w:lvlJc w:val="left"/>
      <w:pPr>
        <w:tabs>
          <w:tab w:val="num" w:pos="1814"/>
        </w:tabs>
        <w:ind w:left="1814" w:hanging="850"/>
      </w:pPr>
    </w:lvl>
    <w:lvl w:ilvl="8">
      <w:numFmt w:val="decimal"/>
      <w:lvlText w:val=""/>
      <w:lvlJc w:val="left"/>
    </w:lvl>
  </w:abstractNum>
  <w:abstractNum w:abstractNumId="23" w15:restartNumberingAfterBreak="0">
    <w:nsid w:val="23C57319"/>
    <w:multiLevelType w:val="multilevel"/>
    <w:tmpl w:val="36344737"/>
    <w:name w:val="S list 1_arb"/>
    <w:lvl w:ilvl="0">
      <w:start w:val="1"/>
      <w:numFmt w:val="decimal"/>
      <w:lvlText w:val=""/>
      <w:lvlJc w:val="left"/>
    </w:lvl>
    <w:lvl w:ilvl="1">
      <w:start w:val="1"/>
      <w:numFmt w:val="decimal"/>
      <w:lvlText w:val="%2."/>
      <w:lvlJc w:val="left"/>
      <w:pPr>
        <w:tabs>
          <w:tab w:val="num" w:pos="851"/>
        </w:tabs>
        <w:ind w:left="851" w:hanging="851"/>
      </w:pPr>
    </w:lvl>
    <w:lvl w:ilvl="2">
      <w:start w:val="1"/>
      <w:numFmt w:val="decimal"/>
      <w:lvlText w:val="%3."/>
      <w:lvlJc w:val="left"/>
      <w:pPr>
        <w:tabs>
          <w:tab w:val="num" w:pos="1560"/>
        </w:tabs>
        <w:ind w:left="1560" w:hanging="709"/>
      </w:pPr>
    </w:lvl>
    <w:lvl w:ilvl="3">
      <w:start w:val="1"/>
      <w:numFmt w:val="decimal"/>
      <w:lvlText w:val="%4."/>
      <w:lvlJc w:val="left"/>
      <w:pPr>
        <w:tabs>
          <w:tab w:val="num" w:pos="2269"/>
        </w:tabs>
        <w:ind w:left="2269" w:hanging="1418"/>
      </w:pPr>
    </w:lvl>
    <w:lvl w:ilvl="4">
      <w:start w:val="1"/>
      <w:numFmt w:val="decimal"/>
      <w:lvlText w:val="%5."/>
      <w:lvlJc w:val="left"/>
      <w:pPr>
        <w:tabs>
          <w:tab w:val="num" w:pos="2269"/>
        </w:tabs>
        <w:ind w:left="2269" w:hanging="709"/>
      </w:pPr>
    </w:lvl>
    <w:lvl w:ilvl="5">
      <w:start w:val="1"/>
      <w:numFmt w:val="decimal"/>
      <w:lvlText w:val="%6."/>
      <w:lvlJc w:val="left"/>
      <w:pPr>
        <w:tabs>
          <w:tab w:val="num" w:pos="2978"/>
        </w:tabs>
        <w:ind w:left="2978" w:hanging="709"/>
      </w:pPr>
    </w:lvl>
    <w:lvl w:ilvl="6">
      <w:start w:val="1"/>
      <w:numFmt w:val="decimal"/>
      <w:lvlText w:val="%7."/>
      <w:lvlJc w:val="left"/>
      <w:pPr>
        <w:tabs>
          <w:tab w:val="num" w:pos="3687"/>
        </w:tabs>
        <w:ind w:left="3687" w:hanging="1418"/>
      </w:pPr>
    </w:lvl>
    <w:lvl w:ilvl="7">
      <w:start w:val="1"/>
      <w:numFmt w:val="decimal"/>
      <w:lvlText w:val="%8."/>
      <w:lvlJc w:val="left"/>
      <w:pPr>
        <w:tabs>
          <w:tab w:val="num" w:pos="3687"/>
        </w:tabs>
        <w:ind w:left="3687" w:hanging="709"/>
      </w:pPr>
    </w:lvl>
    <w:lvl w:ilvl="8">
      <w:numFmt w:val="decimal"/>
      <w:lvlText w:val=""/>
      <w:lvlJc w:val="left"/>
    </w:lvl>
  </w:abstractNum>
  <w:abstractNum w:abstractNumId="24" w15:restartNumberingAfterBreak="0">
    <w:nsid w:val="27842DAC"/>
    <w:multiLevelType w:val="hybridMultilevel"/>
    <w:tmpl w:val="B5D43788"/>
    <w:lvl w:ilvl="0" w:tplc="953A51AC">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27D57314"/>
    <w:multiLevelType w:val="multilevel"/>
    <w:tmpl w:val="26344011"/>
    <w:name w:val="S list i_arb"/>
    <w:lvl w:ilvl="0">
      <w:start w:val="1"/>
      <w:numFmt w:val="lowerRoman"/>
      <w:lvlText w:val=""/>
      <w:lvlJc w:val="left"/>
    </w:lvl>
    <w:lvl w:ilvl="1">
      <w:start w:val="1"/>
      <w:numFmt w:val="lowerRoman"/>
      <w:lvlText w:val="(%2)"/>
      <w:lvlJc w:val="left"/>
      <w:pPr>
        <w:tabs>
          <w:tab w:val="num" w:pos="851"/>
        </w:tabs>
        <w:ind w:left="851" w:hanging="851"/>
      </w:pPr>
    </w:lvl>
    <w:lvl w:ilvl="2">
      <w:start w:val="1"/>
      <w:numFmt w:val="lowerRoman"/>
      <w:lvlText w:val="(%3)"/>
      <w:lvlJc w:val="left"/>
      <w:pPr>
        <w:tabs>
          <w:tab w:val="num" w:pos="1560"/>
        </w:tabs>
        <w:ind w:left="1560" w:hanging="709"/>
      </w:pPr>
    </w:lvl>
    <w:lvl w:ilvl="3">
      <w:start w:val="1"/>
      <w:numFmt w:val="lowerRoman"/>
      <w:lvlText w:val="(%4)"/>
      <w:lvlJc w:val="left"/>
      <w:pPr>
        <w:tabs>
          <w:tab w:val="num" w:pos="2269"/>
        </w:tabs>
        <w:ind w:left="2269" w:hanging="1418"/>
      </w:pPr>
    </w:lvl>
    <w:lvl w:ilvl="4">
      <w:start w:val="1"/>
      <w:numFmt w:val="lowerRoman"/>
      <w:lvlText w:val="(%5)"/>
      <w:lvlJc w:val="left"/>
      <w:pPr>
        <w:tabs>
          <w:tab w:val="num" w:pos="2269"/>
        </w:tabs>
        <w:ind w:left="2269" w:hanging="709"/>
      </w:pPr>
    </w:lvl>
    <w:lvl w:ilvl="5">
      <w:start w:val="1"/>
      <w:numFmt w:val="lowerRoman"/>
      <w:lvlText w:val="(%6)"/>
      <w:lvlJc w:val="left"/>
      <w:pPr>
        <w:tabs>
          <w:tab w:val="num" w:pos="2978"/>
        </w:tabs>
        <w:ind w:left="2978" w:hanging="709"/>
      </w:pPr>
    </w:lvl>
    <w:lvl w:ilvl="6">
      <w:start w:val="1"/>
      <w:numFmt w:val="lowerRoman"/>
      <w:lvlText w:val="(%7)"/>
      <w:lvlJc w:val="left"/>
      <w:pPr>
        <w:tabs>
          <w:tab w:val="num" w:pos="3687"/>
        </w:tabs>
        <w:ind w:left="3687" w:hanging="1418"/>
      </w:pPr>
    </w:lvl>
    <w:lvl w:ilvl="7">
      <w:start w:val="1"/>
      <w:numFmt w:val="lowerRoman"/>
      <w:lvlText w:val="(%8)"/>
      <w:lvlJc w:val="left"/>
      <w:pPr>
        <w:tabs>
          <w:tab w:val="num" w:pos="3687"/>
        </w:tabs>
        <w:ind w:left="3687" w:hanging="709"/>
      </w:pPr>
    </w:lvl>
    <w:lvl w:ilvl="8">
      <w:numFmt w:val="decimal"/>
      <w:lvlText w:val=""/>
      <w:lvlJc w:val="left"/>
    </w:lvl>
  </w:abstractNum>
  <w:abstractNum w:abstractNumId="26" w15:restartNumberingAfterBreak="0">
    <w:nsid w:val="28F49314"/>
    <w:multiLevelType w:val="multilevel"/>
    <w:tmpl w:val="36344015"/>
    <w:name w:val="S list A_arb"/>
    <w:lvl w:ilvl="0">
      <w:start w:val="1"/>
      <w:numFmt w:val="upperLetter"/>
      <w:lvlText w:val=""/>
      <w:lvlJc w:val="left"/>
    </w:lvl>
    <w:lvl w:ilvl="1">
      <w:start w:val="1"/>
      <w:numFmt w:val="upperLetter"/>
      <w:lvlText w:val="(%2)"/>
      <w:lvlJc w:val="left"/>
      <w:pPr>
        <w:tabs>
          <w:tab w:val="num" w:pos="851"/>
        </w:tabs>
        <w:ind w:left="851" w:hanging="851"/>
      </w:pPr>
    </w:lvl>
    <w:lvl w:ilvl="2">
      <w:start w:val="1"/>
      <w:numFmt w:val="upperLetter"/>
      <w:lvlText w:val="(%3)"/>
      <w:lvlJc w:val="left"/>
      <w:pPr>
        <w:tabs>
          <w:tab w:val="num" w:pos="1560"/>
        </w:tabs>
        <w:ind w:left="1560" w:hanging="709"/>
      </w:pPr>
    </w:lvl>
    <w:lvl w:ilvl="3">
      <w:start w:val="1"/>
      <w:numFmt w:val="upperLetter"/>
      <w:lvlText w:val="(%4)"/>
      <w:lvlJc w:val="left"/>
      <w:pPr>
        <w:tabs>
          <w:tab w:val="num" w:pos="2269"/>
        </w:tabs>
        <w:ind w:left="2269" w:hanging="1418"/>
      </w:pPr>
    </w:lvl>
    <w:lvl w:ilvl="4">
      <w:start w:val="1"/>
      <w:numFmt w:val="upperLetter"/>
      <w:lvlText w:val="(%5)"/>
      <w:lvlJc w:val="left"/>
      <w:pPr>
        <w:tabs>
          <w:tab w:val="num" w:pos="2269"/>
        </w:tabs>
        <w:ind w:left="2269" w:hanging="709"/>
      </w:pPr>
    </w:lvl>
    <w:lvl w:ilvl="5">
      <w:start w:val="1"/>
      <w:numFmt w:val="upperLetter"/>
      <w:lvlText w:val="(%6)"/>
      <w:lvlJc w:val="left"/>
      <w:pPr>
        <w:tabs>
          <w:tab w:val="num" w:pos="2978"/>
        </w:tabs>
        <w:ind w:left="2978" w:hanging="709"/>
      </w:pPr>
    </w:lvl>
    <w:lvl w:ilvl="6">
      <w:start w:val="1"/>
      <w:numFmt w:val="upperLetter"/>
      <w:lvlText w:val="(%7)"/>
      <w:lvlJc w:val="left"/>
      <w:pPr>
        <w:tabs>
          <w:tab w:val="num" w:pos="3687"/>
        </w:tabs>
        <w:ind w:left="3687" w:hanging="1418"/>
      </w:pPr>
    </w:lvl>
    <w:lvl w:ilvl="7">
      <w:start w:val="1"/>
      <w:numFmt w:val="upperLetter"/>
      <w:lvlText w:val="(%8)"/>
      <w:lvlJc w:val="left"/>
      <w:pPr>
        <w:tabs>
          <w:tab w:val="num" w:pos="3687"/>
        </w:tabs>
        <w:ind w:left="3687" w:hanging="709"/>
      </w:pPr>
    </w:lvl>
    <w:lvl w:ilvl="8">
      <w:numFmt w:val="decimal"/>
      <w:lvlText w:val=""/>
      <w:lvlJc w:val="left"/>
    </w:lvl>
  </w:abstractNum>
  <w:abstractNum w:abstractNumId="27" w15:restartNumberingAfterBreak="0">
    <w:nsid w:val="2A6F2F0E"/>
    <w:multiLevelType w:val="hybridMultilevel"/>
    <w:tmpl w:val="0BF8A6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2B7A244F"/>
    <w:multiLevelType w:val="hybridMultilevel"/>
    <w:tmpl w:val="4F143274"/>
    <w:lvl w:ilvl="0" w:tplc="4F4A4570">
      <w:start w:val="1"/>
      <w:numFmt w:val="decimal"/>
      <w:lvlText w:val="%1)"/>
      <w:lvlJc w:val="left"/>
      <w:pPr>
        <w:ind w:left="435" w:hanging="360"/>
      </w:pPr>
      <w:rPr>
        <w:rFonts w:hint="default"/>
      </w:rPr>
    </w:lvl>
    <w:lvl w:ilvl="1" w:tplc="04020019" w:tentative="1">
      <w:start w:val="1"/>
      <w:numFmt w:val="lowerLetter"/>
      <w:lvlText w:val="%2."/>
      <w:lvlJc w:val="left"/>
      <w:pPr>
        <w:ind w:left="1155" w:hanging="360"/>
      </w:pPr>
    </w:lvl>
    <w:lvl w:ilvl="2" w:tplc="0402001B" w:tentative="1">
      <w:start w:val="1"/>
      <w:numFmt w:val="lowerRoman"/>
      <w:lvlText w:val="%3."/>
      <w:lvlJc w:val="right"/>
      <w:pPr>
        <w:ind w:left="1875" w:hanging="180"/>
      </w:pPr>
    </w:lvl>
    <w:lvl w:ilvl="3" w:tplc="0402000F" w:tentative="1">
      <w:start w:val="1"/>
      <w:numFmt w:val="decimal"/>
      <w:lvlText w:val="%4."/>
      <w:lvlJc w:val="left"/>
      <w:pPr>
        <w:ind w:left="2595" w:hanging="360"/>
      </w:pPr>
    </w:lvl>
    <w:lvl w:ilvl="4" w:tplc="04020019" w:tentative="1">
      <w:start w:val="1"/>
      <w:numFmt w:val="lowerLetter"/>
      <w:lvlText w:val="%5."/>
      <w:lvlJc w:val="left"/>
      <w:pPr>
        <w:ind w:left="3315" w:hanging="360"/>
      </w:pPr>
    </w:lvl>
    <w:lvl w:ilvl="5" w:tplc="0402001B" w:tentative="1">
      <w:start w:val="1"/>
      <w:numFmt w:val="lowerRoman"/>
      <w:lvlText w:val="%6."/>
      <w:lvlJc w:val="right"/>
      <w:pPr>
        <w:ind w:left="4035" w:hanging="180"/>
      </w:pPr>
    </w:lvl>
    <w:lvl w:ilvl="6" w:tplc="0402000F" w:tentative="1">
      <w:start w:val="1"/>
      <w:numFmt w:val="decimal"/>
      <w:lvlText w:val="%7."/>
      <w:lvlJc w:val="left"/>
      <w:pPr>
        <w:ind w:left="4755" w:hanging="360"/>
      </w:pPr>
    </w:lvl>
    <w:lvl w:ilvl="7" w:tplc="04020019" w:tentative="1">
      <w:start w:val="1"/>
      <w:numFmt w:val="lowerLetter"/>
      <w:lvlText w:val="%8."/>
      <w:lvlJc w:val="left"/>
      <w:pPr>
        <w:ind w:left="5475" w:hanging="360"/>
      </w:pPr>
    </w:lvl>
    <w:lvl w:ilvl="8" w:tplc="0402001B" w:tentative="1">
      <w:start w:val="1"/>
      <w:numFmt w:val="lowerRoman"/>
      <w:lvlText w:val="%9."/>
      <w:lvlJc w:val="right"/>
      <w:pPr>
        <w:ind w:left="6195" w:hanging="180"/>
      </w:pPr>
    </w:lvl>
  </w:abstractNum>
  <w:abstractNum w:abstractNumId="29" w15:restartNumberingAfterBreak="0">
    <w:nsid w:val="2BB02D83"/>
    <w:multiLevelType w:val="hybridMultilevel"/>
    <w:tmpl w:val="96B64DD2"/>
    <w:lvl w:ilvl="0" w:tplc="04020001">
      <w:start w:val="1"/>
      <w:numFmt w:val="bullet"/>
      <w:lvlText w:val=""/>
      <w:lvlJc w:val="left"/>
      <w:pPr>
        <w:ind w:left="720" w:hanging="360"/>
      </w:pPr>
      <w:rPr>
        <w:rFonts w:ascii="Symbol" w:hAnsi="Symbol" w:hint="default"/>
      </w:rPr>
    </w:lvl>
    <w:lvl w:ilvl="1" w:tplc="9E023BC4">
      <w:numFmt w:val="bullet"/>
      <w:lvlText w:val="•"/>
      <w:lvlJc w:val="left"/>
      <w:pPr>
        <w:ind w:left="1440" w:hanging="360"/>
      </w:pPr>
      <w:rPr>
        <w:rFonts w:ascii="Verdana" w:eastAsia="Times New Roman" w:hAnsi="Verdana"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C7C3DD9"/>
    <w:multiLevelType w:val="multilevel"/>
    <w:tmpl w:val="337EB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34456454"/>
    <w:multiLevelType w:val="multilevel"/>
    <w:tmpl w:val="63443951"/>
    <w:name w:val="S bullet"/>
    <w:lvl w:ilvl="0">
      <w:start w:val="1"/>
      <w:numFmt w:val="bullet"/>
      <w:lvlText w:val=""/>
      <w:lvlJc w:val="left"/>
    </w:lvl>
    <w:lvl w:ilvl="1">
      <w:start w:val="1"/>
      <w:numFmt w:val="bullet"/>
      <w:lvlText w:val=""/>
      <w:lvlJc w:val="left"/>
      <w:pPr>
        <w:tabs>
          <w:tab w:val="num" w:pos="680"/>
        </w:tabs>
        <w:ind w:left="680" w:hanging="680"/>
      </w:pPr>
      <w:rPr>
        <w:rFonts w:ascii="Symbol" w:hAnsi="Symbol" w:hint="default"/>
      </w:rPr>
    </w:lvl>
    <w:lvl w:ilvl="2">
      <w:start w:val="1"/>
      <w:numFmt w:val="bullet"/>
      <w:lvlText w:val=""/>
      <w:lvlJc w:val="left"/>
      <w:pPr>
        <w:tabs>
          <w:tab w:val="num" w:pos="1531"/>
        </w:tabs>
        <w:ind w:left="1531" w:hanging="851"/>
      </w:pPr>
      <w:rPr>
        <w:rFonts w:ascii="Symbol" w:hAnsi="Symbol" w:hint="default"/>
      </w:rPr>
    </w:lvl>
    <w:lvl w:ilvl="3">
      <w:start w:val="1"/>
      <w:numFmt w:val="bullet"/>
      <w:lvlText w:val=""/>
      <w:lvlJc w:val="left"/>
      <w:pPr>
        <w:tabs>
          <w:tab w:val="num" w:pos="1531"/>
        </w:tabs>
        <w:ind w:left="1531" w:hanging="851"/>
      </w:pPr>
      <w:rPr>
        <w:rFonts w:ascii="Symbol" w:hAnsi="Symbol" w:hint="default"/>
      </w:rPr>
    </w:lvl>
    <w:lvl w:ilvl="4">
      <w:start w:val="1"/>
      <w:numFmt w:val="bullet"/>
      <w:lvlText w:val=""/>
      <w:lvlJc w:val="left"/>
      <w:pPr>
        <w:tabs>
          <w:tab w:val="num" w:pos="2778"/>
        </w:tabs>
        <w:ind w:left="2778" w:hanging="1247"/>
      </w:pPr>
      <w:rPr>
        <w:rFonts w:ascii="Symbol" w:hAnsi="Symbol" w:hint="default"/>
      </w:rPr>
    </w:lvl>
    <w:lvl w:ilvl="5">
      <w:start w:val="1"/>
      <w:numFmt w:val="bullet"/>
      <w:lvlText w:val=""/>
      <w:lvlJc w:val="left"/>
      <w:pPr>
        <w:tabs>
          <w:tab w:val="num" w:pos="4025"/>
        </w:tabs>
        <w:ind w:left="4025" w:hanging="1247"/>
      </w:pPr>
      <w:rPr>
        <w:rFonts w:ascii="Symbol" w:hAnsi="Symbol" w:hint="default"/>
      </w:rPr>
    </w:lvl>
    <w:lvl w:ilvl="6">
      <w:start w:val="1"/>
      <w:numFmt w:val="bullet"/>
      <w:lvlText w:val=""/>
      <w:lvlJc w:val="left"/>
      <w:pPr>
        <w:tabs>
          <w:tab w:val="num" w:pos="4025"/>
        </w:tabs>
        <w:ind w:left="4025" w:hanging="1247"/>
      </w:pPr>
      <w:rPr>
        <w:rFonts w:ascii="Symbol" w:hAnsi="Symbol" w:hint="default"/>
      </w:rPr>
    </w:lvl>
    <w:lvl w:ilvl="7">
      <w:start w:val="1"/>
      <w:numFmt w:val="bullet"/>
      <w:lvlText w:val=""/>
      <w:lvlJc w:val="left"/>
      <w:pPr>
        <w:tabs>
          <w:tab w:val="num" w:pos="1814"/>
        </w:tabs>
        <w:ind w:left="1814" w:hanging="850"/>
      </w:pPr>
      <w:rPr>
        <w:rFonts w:ascii="Symbol" w:hAnsi="Symbol" w:hint="default"/>
      </w:rPr>
    </w:lvl>
    <w:lvl w:ilvl="8">
      <w:numFmt w:val="decimal"/>
      <w:lvlText w:val=""/>
      <w:lvlJc w:val="left"/>
    </w:lvl>
  </w:abstractNum>
  <w:abstractNum w:abstractNumId="32" w15:restartNumberingAfterBreak="0">
    <w:nsid w:val="39D72555"/>
    <w:multiLevelType w:val="hybridMultilevel"/>
    <w:tmpl w:val="E528D1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3A451254"/>
    <w:multiLevelType w:val="multilevel"/>
    <w:tmpl w:val="63113351"/>
    <w:name w:val="S dash"/>
    <w:lvl w:ilvl="0">
      <w:start w:val="1"/>
      <w:numFmt w:val="bullet"/>
      <w:lvlText w:val=""/>
      <w:lvlJc w:val="left"/>
    </w:lvl>
    <w:lvl w:ilvl="1">
      <w:start w:val="1"/>
      <w:numFmt w:val="bullet"/>
      <w:lvlText w:val="-"/>
      <w:lvlJc w:val="left"/>
      <w:pPr>
        <w:tabs>
          <w:tab w:val="num" w:pos="680"/>
        </w:tabs>
        <w:ind w:left="680" w:hanging="680"/>
      </w:pPr>
    </w:lvl>
    <w:lvl w:ilvl="2">
      <w:start w:val="1"/>
      <w:numFmt w:val="bullet"/>
      <w:lvlText w:val="-"/>
      <w:lvlJc w:val="left"/>
      <w:pPr>
        <w:tabs>
          <w:tab w:val="num" w:pos="1531"/>
        </w:tabs>
        <w:ind w:left="1531" w:hanging="851"/>
      </w:pPr>
    </w:lvl>
    <w:lvl w:ilvl="3">
      <w:start w:val="1"/>
      <w:numFmt w:val="bullet"/>
      <w:lvlText w:val="-"/>
      <w:lvlJc w:val="left"/>
      <w:pPr>
        <w:tabs>
          <w:tab w:val="num" w:pos="1531"/>
        </w:tabs>
        <w:ind w:left="1531" w:hanging="851"/>
      </w:pPr>
    </w:lvl>
    <w:lvl w:ilvl="4">
      <w:start w:val="1"/>
      <w:numFmt w:val="bullet"/>
      <w:lvlText w:val="-"/>
      <w:lvlJc w:val="left"/>
      <w:pPr>
        <w:tabs>
          <w:tab w:val="num" w:pos="2778"/>
        </w:tabs>
        <w:ind w:left="2778" w:hanging="1247"/>
      </w:pPr>
    </w:lvl>
    <w:lvl w:ilvl="5">
      <w:start w:val="1"/>
      <w:numFmt w:val="bullet"/>
      <w:lvlText w:val="-"/>
      <w:lvlJc w:val="left"/>
      <w:pPr>
        <w:tabs>
          <w:tab w:val="num" w:pos="4025"/>
        </w:tabs>
        <w:ind w:left="4025" w:hanging="1247"/>
      </w:pPr>
    </w:lvl>
    <w:lvl w:ilvl="6">
      <w:start w:val="1"/>
      <w:numFmt w:val="bullet"/>
      <w:lvlText w:val="-"/>
      <w:lvlJc w:val="left"/>
      <w:pPr>
        <w:tabs>
          <w:tab w:val="num" w:pos="4025"/>
        </w:tabs>
        <w:ind w:left="4025" w:hanging="1247"/>
      </w:pPr>
    </w:lvl>
    <w:lvl w:ilvl="7">
      <w:start w:val="1"/>
      <w:numFmt w:val="bullet"/>
      <w:lvlText w:val="-"/>
      <w:lvlJc w:val="left"/>
      <w:pPr>
        <w:tabs>
          <w:tab w:val="num" w:pos="1814"/>
        </w:tabs>
        <w:ind w:left="1814" w:hanging="850"/>
      </w:pPr>
    </w:lvl>
    <w:lvl w:ilvl="8">
      <w:numFmt w:val="decimal"/>
      <w:lvlText w:val=""/>
      <w:lvlJc w:val="left"/>
    </w:lvl>
  </w:abstractNum>
  <w:abstractNum w:abstractNumId="34" w15:restartNumberingAfterBreak="0">
    <w:nsid w:val="3B456474"/>
    <w:multiLevelType w:val="multilevel"/>
    <w:tmpl w:val="63443353"/>
    <w:name w:val="S bullet_arb"/>
    <w:lvl w:ilvl="0">
      <w:start w:val="1"/>
      <w:numFmt w:val="bullet"/>
      <w:lvlText w:val=""/>
      <w:lvlJc w:val="left"/>
    </w:lvl>
    <w:lvl w:ilvl="1">
      <w:start w:val="1"/>
      <w:numFmt w:val="bullet"/>
      <w:lvlText w:val=""/>
      <w:lvlJc w:val="left"/>
      <w:pPr>
        <w:tabs>
          <w:tab w:val="num" w:pos="851"/>
        </w:tabs>
        <w:ind w:left="851" w:hanging="851"/>
      </w:pPr>
      <w:rPr>
        <w:rFonts w:ascii="Symbol" w:hAnsi="Symbol" w:hint="default"/>
      </w:rPr>
    </w:lvl>
    <w:lvl w:ilvl="2">
      <w:start w:val="1"/>
      <w:numFmt w:val="bullet"/>
      <w:lvlText w:val=""/>
      <w:lvlJc w:val="left"/>
      <w:pPr>
        <w:tabs>
          <w:tab w:val="num" w:pos="1560"/>
        </w:tabs>
        <w:ind w:left="1560" w:hanging="709"/>
      </w:pPr>
      <w:rPr>
        <w:rFonts w:ascii="Symbol" w:hAnsi="Symbol" w:hint="default"/>
      </w:rPr>
    </w:lvl>
    <w:lvl w:ilvl="3">
      <w:start w:val="1"/>
      <w:numFmt w:val="bullet"/>
      <w:lvlText w:val=""/>
      <w:lvlJc w:val="left"/>
      <w:pPr>
        <w:tabs>
          <w:tab w:val="num" w:pos="2269"/>
        </w:tabs>
        <w:ind w:left="2269" w:hanging="1418"/>
      </w:pPr>
      <w:rPr>
        <w:rFonts w:ascii="Symbol" w:hAnsi="Symbol" w:hint="default"/>
      </w:rPr>
    </w:lvl>
    <w:lvl w:ilvl="4">
      <w:start w:val="1"/>
      <w:numFmt w:val="bullet"/>
      <w:lvlText w:val=""/>
      <w:lvlJc w:val="left"/>
      <w:pPr>
        <w:tabs>
          <w:tab w:val="num" w:pos="2269"/>
        </w:tabs>
        <w:ind w:left="2269" w:hanging="709"/>
      </w:pPr>
      <w:rPr>
        <w:rFonts w:ascii="Symbol" w:hAnsi="Symbol" w:hint="default"/>
      </w:rPr>
    </w:lvl>
    <w:lvl w:ilvl="5">
      <w:start w:val="1"/>
      <w:numFmt w:val="bullet"/>
      <w:lvlText w:val=""/>
      <w:lvlJc w:val="left"/>
      <w:pPr>
        <w:tabs>
          <w:tab w:val="num" w:pos="2978"/>
        </w:tabs>
        <w:ind w:left="2978" w:hanging="709"/>
      </w:pPr>
      <w:rPr>
        <w:rFonts w:ascii="Symbol" w:hAnsi="Symbol" w:hint="default"/>
      </w:rPr>
    </w:lvl>
    <w:lvl w:ilvl="6">
      <w:start w:val="1"/>
      <w:numFmt w:val="bullet"/>
      <w:lvlText w:val=""/>
      <w:lvlJc w:val="left"/>
      <w:pPr>
        <w:tabs>
          <w:tab w:val="num" w:pos="3687"/>
        </w:tabs>
        <w:ind w:left="3687" w:hanging="1418"/>
      </w:pPr>
      <w:rPr>
        <w:rFonts w:ascii="Symbol" w:hAnsi="Symbol" w:hint="default"/>
      </w:rPr>
    </w:lvl>
    <w:lvl w:ilvl="7">
      <w:start w:val="1"/>
      <w:numFmt w:val="bullet"/>
      <w:lvlText w:val=""/>
      <w:lvlJc w:val="left"/>
      <w:pPr>
        <w:tabs>
          <w:tab w:val="num" w:pos="3687"/>
        </w:tabs>
        <w:ind w:left="3687" w:hanging="709"/>
      </w:pPr>
      <w:rPr>
        <w:rFonts w:ascii="Symbol" w:hAnsi="Symbol" w:hint="default"/>
      </w:rPr>
    </w:lvl>
    <w:lvl w:ilvl="8">
      <w:numFmt w:val="decimal"/>
      <w:lvlText w:val=""/>
      <w:lvlJc w:val="left"/>
    </w:lvl>
  </w:abstractNum>
  <w:abstractNum w:abstractNumId="35" w15:restartNumberingAfterBreak="0">
    <w:nsid w:val="3D451254"/>
    <w:multiLevelType w:val="multilevel"/>
    <w:tmpl w:val="53863951"/>
    <w:name w:val="S dash_arb"/>
    <w:lvl w:ilvl="0">
      <w:start w:val="1"/>
      <w:numFmt w:val="bullet"/>
      <w:lvlText w:val=""/>
      <w:lvlJc w:val="left"/>
    </w:lvl>
    <w:lvl w:ilvl="1">
      <w:start w:val="1"/>
      <w:numFmt w:val="bullet"/>
      <w:lvlText w:val="-"/>
      <w:lvlJc w:val="left"/>
      <w:pPr>
        <w:tabs>
          <w:tab w:val="num" w:pos="851"/>
        </w:tabs>
        <w:ind w:left="851" w:hanging="851"/>
      </w:pPr>
    </w:lvl>
    <w:lvl w:ilvl="2">
      <w:start w:val="1"/>
      <w:numFmt w:val="bullet"/>
      <w:lvlText w:val="-"/>
      <w:lvlJc w:val="left"/>
      <w:pPr>
        <w:tabs>
          <w:tab w:val="num" w:pos="1560"/>
        </w:tabs>
        <w:ind w:left="1560" w:hanging="709"/>
      </w:pPr>
    </w:lvl>
    <w:lvl w:ilvl="3">
      <w:start w:val="1"/>
      <w:numFmt w:val="bullet"/>
      <w:lvlText w:val="-"/>
      <w:lvlJc w:val="left"/>
      <w:pPr>
        <w:tabs>
          <w:tab w:val="num" w:pos="2269"/>
        </w:tabs>
        <w:ind w:left="2269" w:hanging="1418"/>
      </w:pPr>
    </w:lvl>
    <w:lvl w:ilvl="4">
      <w:start w:val="1"/>
      <w:numFmt w:val="bullet"/>
      <w:lvlText w:val="-"/>
      <w:lvlJc w:val="left"/>
      <w:pPr>
        <w:tabs>
          <w:tab w:val="num" w:pos="2269"/>
        </w:tabs>
        <w:ind w:left="2269" w:hanging="709"/>
      </w:pPr>
    </w:lvl>
    <w:lvl w:ilvl="5">
      <w:start w:val="1"/>
      <w:numFmt w:val="bullet"/>
      <w:lvlText w:val="-"/>
      <w:lvlJc w:val="left"/>
      <w:pPr>
        <w:tabs>
          <w:tab w:val="num" w:pos="2978"/>
        </w:tabs>
        <w:ind w:left="2978" w:hanging="709"/>
      </w:pPr>
    </w:lvl>
    <w:lvl w:ilvl="6">
      <w:start w:val="1"/>
      <w:numFmt w:val="bullet"/>
      <w:lvlText w:val="-"/>
      <w:lvlJc w:val="left"/>
      <w:pPr>
        <w:tabs>
          <w:tab w:val="num" w:pos="3687"/>
        </w:tabs>
        <w:ind w:left="3687" w:hanging="1418"/>
      </w:pPr>
    </w:lvl>
    <w:lvl w:ilvl="7">
      <w:start w:val="1"/>
      <w:numFmt w:val="bullet"/>
      <w:lvlText w:val="-"/>
      <w:lvlJc w:val="left"/>
      <w:pPr>
        <w:tabs>
          <w:tab w:val="num" w:pos="3687"/>
        </w:tabs>
        <w:ind w:left="3687" w:hanging="709"/>
      </w:pPr>
    </w:lvl>
    <w:lvl w:ilvl="8">
      <w:numFmt w:val="decimal"/>
      <w:lvlText w:val=""/>
      <w:lvlJc w:val="left"/>
    </w:lvl>
  </w:abstractNum>
  <w:abstractNum w:abstractNumId="36" w15:restartNumberingAfterBreak="0">
    <w:nsid w:val="46172946"/>
    <w:multiLevelType w:val="hybridMultilevel"/>
    <w:tmpl w:val="24D41B50"/>
    <w:lvl w:ilvl="0" w:tplc="4D5053F4">
      <w:start w:val="1"/>
      <w:numFmt w:val="bullet"/>
      <w:lvlText w:val=""/>
      <w:lvlJc w:val="left"/>
      <w:pPr>
        <w:ind w:left="720" w:hanging="360"/>
      </w:pPr>
      <w:rPr>
        <w:rFonts w:ascii="Symbol" w:hAnsi="Symbol"/>
      </w:rPr>
    </w:lvl>
    <w:lvl w:ilvl="1" w:tplc="0A0A5FF4">
      <w:start w:val="1"/>
      <w:numFmt w:val="bullet"/>
      <w:lvlText w:val=""/>
      <w:lvlJc w:val="left"/>
      <w:pPr>
        <w:ind w:left="720" w:hanging="360"/>
      </w:pPr>
      <w:rPr>
        <w:rFonts w:ascii="Symbol" w:hAnsi="Symbol"/>
      </w:rPr>
    </w:lvl>
    <w:lvl w:ilvl="2" w:tplc="79869938">
      <w:start w:val="1"/>
      <w:numFmt w:val="bullet"/>
      <w:lvlText w:val=""/>
      <w:lvlJc w:val="left"/>
      <w:pPr>
        <w:ind w:left="720" w:hanging="360"/>
      </w:pPr>
      <w:rPr>
        <w:rFonts w:ascii="Symbol" w:hAnsi="Symbol"/>
      </w:rPr>
    </w:lvl>
    <w:lvl w:ilvl="3" w:tplc="758615F6">
      <w:start w:val="1"/>
      <w:numFmt w:val="bullet"/>
      <w:lvlText w:val=""/>
      <w:lvlJc w:val="left"/>
      <w:pPr>
        <w:ind w:left="720" w:hanging="360"/>
      </w:pPr>
      <w:rPr>
        <w:rFonts w:ascii="Symbol" w:hAnsi="Symbol"/>
      </w:rPr>
    </w:lvl>
    <w:lvl w:ilvl="4" w:tplc="026C3EB0">
      <w:start w:val="1"/>
      <w:numFmt w:val="bullet"/>
      <w:lvlText w:val=""/>
      <w:lvlJc w:val="left"/>
      <w:pPr>
        <w:ind w:left="720" w:hanging="360"/>
      </w:pPr>
      <w:rPr>
        <w:rFonts w:ascii="Symbol" w:hAnsi="Symbol"/>
      </w:rPr>
    </w:lvl>
    <w:lvl w:ilvl="5" w:tplc="6318236E">
      <w:start w:val="1"/>
      <w:numFmt w:val="bullet"/>
      <w:lvlText w:val=""/>
      <w:lvlJc w:val="left"/>
      <w:pPr>
        <w:ind w:left="720" w:hanging="360"/>
      </w:pPr>
      <w:rPr>
        <w:rFonts w:ascii="Symbol" w:hAnsi="Symbol"/>
      </w:rPr>
    </w:lvl>
    <w:lvl w:ilvl="6" w:tplc="85CC54E6">
      <w:start w:val="1"/>
      <w:numFmt w:val="bullet"/>
      <w:lvlText w:val=""/>
      <w:lvlJc w:val="left"/>
      <w:pPr>
        <w:ind w:left="720" w:hanging="360"/>
      </w:pPr>
      <w:rPr>
        <w:rFonts w:ascii="Symbol" w:hAnsi="Symbol"/>
      </w:rPr>
    </w:lvl>
    <w:lvl w:ilvl="7" w:tplc="615C7F7C">
      <w:start w:val="1"/>
      <w:numFmt w:val="bullet"/>
      <w:lvlText w:val=""/>
      <w:lvlJc w:val="left"/>
      <w:pPr>
        <w:ind w:left="720" w:hanging="360"/>
      </w:pPr>
      <w:rPr>
        <w:rFonts w:ascii="Symbol" w:hAnsi="Symbol"/>
      </w:rPr>
    </w:lvl>
    <w:lvl w:ilvl="8" w:tplc="18A84D0E">
      <w:start w:val="1"/>
      <w:numFmt w:val="bullet"/>
      <w:lvlText w:val=""/>
      <w:lvlJc w:val="left"/>
      <w:pPr>
        <w:ind w:left="720" w:hanging="360"/>
      </w:pPr>
      <w:rPr>
        <w:rFonts w:ascii="Symbol" w:hAnsi="Symbol"/>
      </w:rPr>
    </w:lvl>
  </w:abstractNum>
  <w:abstractNum w:abstractNumId="37" w15:restartNumberingAfterBreak="0">
    <w:nsid w:val="4A2525FA"/>
    <w:multiLevelType w:val="hybridMultilevel"/>
    <w:tmpl w:val="4E36D7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4A47314"/>
    <w:multiLevelType w:val="singleLevel"/>
    <w:tmpl w:val="56344297"/>
    <w:name w:val="S marginal number"/>
    <w:lvl w:ilvl="0">
      <w:start w:val="1"/>
      <w:numFmt w:val="decimal"/>
      <w:pStyle w:val="Smarginalnumber"/>
      <w:lvlText w:val="%1"/>
      <w:lvlJc w:val="left"/>
      <w:pPr>
        <w:tabs>
          <w:tab w:val="num" w:pos="680"/>
        </w:tabs>
      </w:pPr>
    </w:lvl>
  </w:abstractNum>
  <w:abstractNum w:abstractNumId="39" w15:restartNumberingAfterBreak="0">
    <w:nsid w:val="54E87F0F"/>
    <w:multiLevelType w:val="hybridMultilevel"/>
    <w:tmpl w:val="49CED194"/>
    <w:lvl w:ilvl="0" w:tplc="93C2019E">
      <w:start w:val="1"/>
      <w:numFmt w:val="bullet"/>
      <w:lvlText w:val=""/>
      <w:lvlJc w:val="left"/>
      <w:pPr>
        <w:ind w:left="1080" w:hanging="360"/>
      </w:pPr>
      <w:rPr>
        <w:rFonts w:ascii="Symbol" w:hAnsi="Symbol"/>
      </w:rPr>
    </w:lvl>
    <w:lvl w:ilvl="1" w:tplc="871CA11E">
      <w:start w:val="1"/>
      <w:numFmt w:val="bullet"/>
      <w:lvlText w:val=""/>
      <w:lvlJc w:val="left"/>
      <w:pPr>
        <w:ind w:left="1080" w:hanging="360"/>
      </w:pPr>
      <w:rPr>
        <w:rFonts w:ascii="Symbol" w:hAnsi="Symbol"/>
      </w:rPr>
    </w:lvl>
    <w:lvl w:ilvl="2" w:tplc="77E04AFC">
      <w:start w:val="1"/>
      <w:numFmt w:val="bullet"/>
      <w:lvlText w:val=""/>
      <w:lvlJc w:val="left"/>
      <w:pPr>
        <w:ind w:left="1080" w:hanging="360"/>
      </w:pPr>
      <w:rPr>
        <w:rFonts w:ascii="Symbol" w:hAnsi="Symbol"/>
      </w:rPr>
    </w:lvl>
    <w:lvl w:ilvl="3" w:tplc="362471EA">
      <w:start w:val="1"/>
      <w:numFmt w:val="bullet"/>
      <w:lvlText w:val=""/>
      <w:lvlJc w:val="left"/>
      <w:pPr>
        <w:ind w:left="1080" w:hanging="360"/>
      </w:pPr>
      <w:rPr>
        <w:rFonts w:ascii="Symbol" w:hAnsi="Symbol"/>
      </w:rPr>
    </w:lvl>
    <w:lvl w:ilvl="4" w:tplc="BE30B462">
      <w:start w:val="1"/>
      <w:numFmt w:val="bullet"/>
      <w:lvlText w:val=""/>
      <w:lvlJc w:val="left"/>
      <w:pPr>
        <w:ind w:left="1080" w:hanging="360"/>
      </w:pPr>
      <w:rPr>
        <w:rFonts w:ascii="Symbol" w:hAnsi="Symbol"/>
      </w:rPr>
    </w:lvl>
    <w:lvl w:ilvl="5" w:tplc="B94C3A42">
      <w:start w:val="1"/>
      <w:numFmt w:val="bullet"/>
      <w:lvlText w:val=""/>
      <w:lvlJc w:val="left"/>
      <w:pPr>
        <w:ind w:left="1080" w:hanging="360"/>
      </w:pPr>
      <w:rPr>
        <w:rFonts w:ascii="Symbol" w:hAnsi="Symbol"/>
      </w:rPr>
    </w:lvl>
    <w:lvl w:ilvl="6" w:tplc="6B7A848E">
      <w:start w:val="1"/>
      <w:numFmt w:val="bullet"/>
      <w:lvlText w:val=""/>
      <w:lvlJc w:val="left"/>
      <w:pPr>
        <w:ind w:left="1080" w:hanging="360"/>
      </w:pPr>
      <w:rPr>
        <w:rFonts w:ascii="Symbol" w:hAnsi="Symbol"/>
      </w:rPr>
    </w:lvl>
    <w:lvl w:ilvl="7" w:tplc="AD90E6F2">
      <w:start w:val="1"/>
      <w:numFmt w:val="bullet"/>
      <w:lvlText w:val=""/>
      <w:lvlJc w:val="left"/>
      <w:pPr>
        <w:ind w:left="1080" w:hanging="360"/>
      </w:pPr>
      <w:rPr>
        <w:rFonts w:ascii="Symbol" w:hAnsi="Symbol"/>
      </w:rPr>
    </w:lvl>
    <w:lvl w:ilvl="8" w:tplc="6CF0A010">
      <w:start w:val="1"/>
      <w:numFmt w:val="bullet"/>
      <w:lvlText w:val=""/>
      <w:lvlJc w:val="left"/>
      <w:pPr>
        <w:ind w:left="1080" w:hanging="360"/>
      </w:pPr>
      <w:rPr>
        <w:rFonts w:ascii="Symbol" w:hAnsi="Symbol"/>
      </w:rPr>
    </w:lvl>
  </w:abstractNum>
  <w:abstractNum w:abstractNumId="40" w15:restartNumberingAfterBreak="0">
    <w:nsid w:val="55B47314"/>
    <w:multiLevelType w:val="singleLevel"/>
    <w:tmpl w:val="56344297"/>
    <w:name w:val="S marginal number_arb"/>
    <w:lvl w:ilvl="0">
      <w:start w:val="1"/>
      <w:numFmt w:val="decimal"/>
      <w:pStyle w:val="Smarginalnumberarb"/>
      <w:lvlText w:val="%1"/>
      <w:lvlJc w:val="left"/>
      <w:pPr>
        <w:tabs>
          <w:tab w:val="num" w:pos="851"/>
        </w:tabs>
      </w:pPr>
    </w:lvl>
  </w:abstractNum>
  <w:abstractNum w:abstractNumId="41" w15:restartNumberingAfterBreak="0">
    <w:nsid w:val="567F1190"/>
    <w:multiLevelType w:val="hybridMultilevel"/>
    <w:tmpl w:val="0C823D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80D3497"/>
    <w:multiLevelType w:val="hybridMultilevel"/>
    <w:tmpl w:val="9AE02D5A"/>
    <w:lvl w:ilvl="0" w:tplc="2CC4C3D4">
      <w:start w:val="1"/>
      <w:numFmt w:val="bullet"/>
      <w:lvlText w:val=""/>
      <w:lvlJc w:val="left"/>
      <w:pPr>
        <w:ind w:left="720" w:hanging="360"/>
      </w:pPr>
      <w:rPr>
        <w:rFonts w:ascii="Symbol" w:hAnsi="Symbol"/>
      </w:rPr>
    </w:lvl>
    <w:lvl w:ilvl="1" w:tplc="2A6AB020">
      <w:start w:val="1"/>
      <w:numFmt w:val="bullet"/>
      <w:lvlText w:val=""/>
      <w:lvlJc w:val="left"/>
      <w:pPr>
        <w:ind w:left="720" w:hanging="360"/>
      </w:pPr>
      <w:rPr>
        <w:rFonts w:ascii="Symbol" w:hAnsi="Symbol"/>
      </w:rPr>
    </w:lvl>
    <w:lvl w:ilvl="2" w:tplc="6D9EE29C">
      <w:start w:val="1"/>
      <w:numFmt w:val="bullet"/>
      <w:lvlText w:val=""/>
      <w:lvlJc w:val="left"/>
      <w:pPr>
        <w:ind w:left="720" w:hanging="360"/>
      </w:pPr>
      <w:rPr>
        <w:rFonts w:ascii="Symbol" w:hAnsi="Symbol"/>
      </w:rPr>
    </w:lvl>
    <w:lvl w:ilvl="3" w:tplc="18E2F37A">
      <w:start w:val="1"/>
      <w:numFmt w:val="bullet"/>
      <w:lvlText w:val=""/>
      <w:lvlJc w:val="left"/>
      <w:pPr>
        <w:ind w:left="720" w:hanging="360"/>
      </w:pPr>
      <w:rPr>
        <w:rFonts w:ascii="Symbol" w:hAnsi="Symbol"/>
      </w:rPr>
    </w:lvl>
    <w:lvl w:ilvl="4" w:tplc="4B02EA6E">
      <w:start w:val="1"/>
      <w:numFmt w:val="bullet"/>
      <w:lvlText w:val=""/>
      <w:lvlJc w:val="left"/>
      <w:pPr>
        <w:ind w:left="720" w:hanging="360"/>
      </w:pPr>
      <w:rPr>
        <w:rFonts w:ascii="Symbol" w:hAnsi="Symbol"/>
      </w:rPr>
    </w:lvl>
    <w:lvl w:ilvl="5" w:tplc="032AD878">
      <w:start w:val="1"/>
      <w:numFmt w:val="bullet"/>
      <w:lvlText w:val=""/>
      <w:lvlJc w:val="left"/>
      <w:pPr>
        <w:ind w:left="720" w:hanging="360"/>
      </w:pPr>
      <w:rPr>
        <w:rFonts w:ascii="Symbol" w:hAnsi="Symbol"/>
      </w:rPr>
    </w:lvl>
    <w:lvl w:ilvl="6" w:tplc="FD961CA0">
      <w:start w:val="1"/>
      <w:numFmt w:val="bullet"/>
      <w:lvlText w:val=""/>
      <w:lvlJc w:val="left"/>
      <w:pPr>
        <w:ind w:left="720" w:hanging="360"/>
      </w:pPr>
      <w:rPr>
        <w:rFonts w:ascii="Symbol" w:hAnsi="Symbol"/>
      </w:rPr>
    </w:lvl>
    <w:lvl w:ilvl="7" w:tplc="B06CBB08">
      <w:start w:val="1"/>
      <w:numFmt w:val="bullet"/>
      <w:lvlText w:val=""/>
      <w:lvlJc w:val="left"/>
      <w:pPr>
        <w:ind w:left="720" w:hanging="360"/>
      </w:pPr>
      <w:rPr>
        <w:rFonts w:ascii="Symbol" w:hAnsi="Symbol"/>
      </w:rPr>
    </w:lvl>
    <w:lvl w:ilvl="8" w:tplc="935A6FDA">
      <w:start w:val="1"/>
      <w:numFmt w:val="bullet"/>
      <w:lvlText w:val=""/>
      <w:lvlJc w:val="left"/>
      <w:pPr>
        <w:ind w:left="720" w:hanging="360"/>
      </w:pPr>
      <w:rPr>
        <w:rFonts w:ascii="Symbol" w:hAnsi="Symbol"/>
      </w:rPr>
    </w:lvl>
  </w:abstractNum>
  <w:abstractNum w:abstractNumId="43" w15:restartNumberingAfterBreak="0">
    <w:nsid w:val="5AA062EA"/>
    <w:multiLevelType w:val="hybridMultilevel"/>
    <w:tmpl w:val="F07A0AC0"/>
    <w:lvl w:ilvl="0" w:tplc="535C7618">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B1744EC"/>
    <w:multiLevelType w:val="hybridMultilevel"/>
    <w:tmpl w:val="4392C6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F9F312E"/>
    <w:multiLevelType w:val="hybridMultilevel"/>
    <w:tmpl w:val="C12075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5FB43558"/>
    <w:multiLevelType w:val="hybridMultilevel"/>
    <w:tmpl w:val="3842B6A6"/>
    <w:lvl w:ilvl="0" w:tplc="8FBEDB72">
      <w:start w:val="1"/>
      <w:numFmt w:val="bullet"/>
      <w:lvlText w:val=""/>
      <w:lvlJc w:val="left"/>
      <w:pPr>
        <w:ind w:left="1080" w:hanging="360"/>
      </w:pPr>
      <w:rPr>
        <w:rFonts w:ascii="Symbol" w:hAnsi="Symbol"/>
      </w:rPr>
    </w:lvl>
    <w:lvl w:ilvl="1" w:tplc="54444A6A">
      <w:start w:val="1"/>
      <w:numFmt w:val="bullet"/>
      <w:lvlText w:val=""/>
      <w:lvlJc w:val="left"/>
      <w:pPr>
        <w:ind w:left="1080" w:hanging="360"/>
      </w:pPr>
      <w:rPr>
        <w:rFonts w:ascii="Symbol" w:hAnsi="Symbol"/>
      </w:rPr>
    </w:lvl>
    <w:lvl w:ilvl="2" w:tplc="54E06672">
      <w:start w:val="1"/>
      <w:numFmt w:val="bullet"/>
      <w:lvlText w:val=""/>
      <w:lvlJc w:val="left"/>
      <w:pPr>
        <w:ind w:left="1080" w:hanging="360"/>
      </w:pPr>
      <w:rPr>
        <w:rFonts w:ascii="Symbol" w:hAnsi="Symbol"/>
      </w:rPr>
    </w:lvl>
    <w:lvl w:ilvl="3" w:tplc="A4CA5EC8">
      <w:start w:val="1"/>
      <w:numFmt w:val="bullet"/>
      <w:lvlText w:val=""/>
      <w:lvlJc w:val="left"/>
      <w:pPr>
        <w:ind w:left="1080" w:hanging="360"/>
      </w:pPr>
      <w:rPr>
        <w:rFonts w:ascii="Symbol" w:hAnsi="Symbol"/>
      </w:rPr>
    </w:lvl>
    <w:lvl w:ilvl="4" w:tplc="8D744328">
      <w:start w:val="1"/>
      <w:numFmt w:val="bullet"/>
      <w:lvlText w:val=""/>
      <w:lvlJc w:val="left"/>
      <w:pPr>
        <w:ind w:left="1080" w:hanging="360"/>
      </w:pPr>
      <w:rPr>
        <w:rFonts w:ascii="Symbol" w:hAnsi="Symbol"/>
      </w:rPr>
    </w:lvl>
    <w:lvl w:ilvl="5" w:tplc="E21AB66C">
      <w:start w:val="1"/>
      <w:numFmt w:val="bullet"/>
      <w:lvlText w:val=""/>
      <w:lvlJc w:val="left"/>
      <w:pPr>
        <w:ind w:left="1080" w:hanging="360"/>
      </w:pPr>
      <w:rPr>
        <w:rFonts w:ascii="Symbol" w:hAnsi="Symbol"/>
      </w:rPr>
    </w:lvl>
    <w:lvl w:ilvl="6" w:tplc="BE9A8A70">
      <w:start w:val="1"/>
      <w:numFmt w:val="bullet"/>
      <w:lvlText w:val=""/>
      <w:lvlJc w:val="left"/>
      <w:pPr>
        <w:ind w:left="1080" w:hanging="360"/>
      </w:pPr>
      <w:rPr>
        <w:rFonts w:ascii="Symbol" w:hAnsi="Symbol"/>
      </w:rPr>
    </w:lvl>
    <w:lvl w:ilvl="7" w:tplc="65BE8DFA">
      <w:start w:val="1"/>
      <w:numFmt w:val="bullet"/>
      <w:lvlText w:val=""/>
      <w:lvlJc w:val="left"/>
      <w:pPr>
        <w:ind w:left="1080" w:hanging="360"/>
      </w:pPr>
      <w:rPr>
        <w:rFonts w:ascii="Symbol" w:hAnsi="Symbol"/>
      </w:rPr>
    </w:lvl>
    <w:lvl w:ilvl="8" w:tplc="1B5E61C0">
      <w:start w:val="1"/>
      <w:numFmt w:val="bullet"/>
      <w:lvlText w:val=""/>
      <w:lvlJc w:val="left"/>
      <w:pPr>
        <w:ind w:left="1080" w:hanging="360"/>
      </w:pPr>
      <w:rPr>
        <w:rFonts w:ascii="Symbol" w:hAnsi="Symbol"/>
      </w:rPr>
    </w:lvl>
  </w:abstractNum>
  <w:abstractNum w:abstractNumId="47" w15:restartNumberingAfterBreak="0">
    <w:nsid w:val="607F3CA3"/>
    <w:multiLevelType w:val="hybridMultilevel"/>
    <w:tmpl w:val="FE28EBAA"/>
    <w:lvl w:ilvl="0" w:tplc="97E601E0">
      <w:start w:val="1"/>
      <w:numFmt w:val="bullet"/>
      <w:lvlText w:val=""/>
      <w:lvlJc w:val="left"/>
      <w:pPr>
        <w:ind w:left="720" w:hanging="360"/>
      </w:pPr>
      <w:rPr>
        <w:rFonts w:ascii="Symbol" w:hAnsi="Symbol"/>
      </w:rPr>
    </w:lvl>
    <w:lvl w:ilvl="1" w:tplc="472E3582">
      <w:start w:val="1"/>
      <w:numFmt w:val="bullet"/>
      <w:lvlText w:val=""/>
      <w:lvlJc w:val="left"/>
      <w:pPr>
        <w:ind w:left="720" w:hanging="360"/>
      </w:pPr>
      <w:rPr>
        <w:rFonts w:ascii="Symbol" w:hAnsi="Symbol"/>
      </w:rPr>
    </w:lvl>
    <w:lvl w:ilvl="2" w:tplc="0B2C0460">
      <w:start w:val="1"/>
      <w:numFmt w:val="bullet"/>
      <w:lvlText w:val=""/>
      <w:lvlJc w:val="left"/>
      <w:pPr>
        <w:ind w:left="720" w:hanging="360"/>
      </w:pPr>
      <w:rPr>
        <w:rFonts w:ascii="Symbol" w:hAnsi="Symbol"/>
      </w:rPr>
    </w:lvl>
    <w:lvl w:ilvl="3" w:tplc="17D4946E">
      <w:start w:val="1"/>
      <w:numFmt w:val="bullet"/>
      <w:lvlText w:val=""/>
      <w:lvlJc w:val="left"/>
      <w:pPr>
        <w:ind w:left="720" w:hanging="360"/>
      </w:pPr>
      <w:rPr>
        <w:rFonts w:ascii="Symbol" w:hAnsi="Symbol"/>
      </w:rPr>
    </w:lvl>
    <w:lvl w:ilvl="4" w:tplc="E872EBFE">
      <w:start w:val="1"/>
      <w:numFmt w:val="bullet"/>
      <w:lvlText w:val=""/>
      <w:lvlJc w:val="left"/>
      <w:pPr>
        <w:ind w:left="720" w:hanging="360"/>
      </w:pPr>
      <w:rPr>
        <w:rFonts w:ascii="Symbol" w:hAnsi="Symbol"/>
      </w:rPr>
    </w:lvl>
    <w:lvl w:ilvl="5" w:tplc="1A9C51EE">
      <w:start w:val="1"/>
      <w:numFmt w:val="bullet"/>
      <w:lvlText w:val=""/>
      <w:lvlJc w:val="left"/>
      <w:pPr>
        <w:ind w:left="720" w:hanging="360"/>
      </w:pPr>
      <w:rPr>
        <w:rFonts w:ascii="Symbol" w:hAnsi="Symbol"/>
      </w:rPr>
    </w:lvl>
    <w:lvl w:ilvl="6" w:tplc="81DC41F8">
      <w:start w:val="1"/>
      <w:numFmt w:val="bullet"/>
      <w:lvlText w:val=""/>
      <w:lvlJc w:val="left"/>
      <w:pPr>
        <w:ind w:left="720" w:hanging="360"/>
      </w:pPr>
      <w:rPr>
        <w:rFonts w:ascii="Symbol" w:hAnsi="Symbol"/>
      </w:rPr>
    </w:lvl>
    <w:lvl w:ilvl="7" w:tplc="3210FF54">
      <w:start w:val="1"/>
      <w:numFmt w:val="bullet"/>
      <w:lvlText w:val=""/>
      <w:lvlJc w:val="left"/>
      <w:pPr>
        <w:ind w:left="720" w:hanging="360"/>
      </w:pPr>
      <w:rPr>
        <w:rFonts w:ascii="Symbol" w:hAnsi="Symbol"/>
      </w:rPr>
    </w:lvl>
    <w:lvl w:ilvl="8" w:tplc="D9F045EA">
      <w:start w:val="1"/>
      <w:numFmt w:val="bullet"/>
      <w:lvlText w:val=""/>
      <w:lvlJc w:val="left"/>
      <w:pPr>
        <w:ind w:left="720" w:hanging="360"/>
      </w:pPr>
      <w:rPr>
        <w:rFonts w:ascii="Symbol" w:hAnsi="Symbol"/>
      </w:rPr>
    </w:lvl>
  </w:abstractNum>
  <w:abstractNum w:abstractNumId="48" w15:restartNumberingAfterBreak="0">
    <w:nsid w:val="6B1A0FF6"/>
    <w:multiLevelType w:val="hybridMultilevel"/>
    <w:tmpl w:val="FB987816"/>
    <w:lvl w:ilvl="0" w:tplc="4828A950">
      <w:start w:val="1"/>
      <w:numFmt w:val="bullet"/>
      <w:lvlText w:val=""/>
      <w:lvlJc w:val="left"/>
      <w:pPr>
        <w:ind w:left="1080" w:hanging="360"/>
      </w:pPr>
      <w:rPr>
        <w:rFonts w:ascii="Symbol" w:hAnsi="Symbol"/>
      </w:rPr>
    </w:lvl>
    <w:lvl w:ilvl="1" w:tplc="051077F6">
      <w:start w:val="1"/>
      <w:numFmt w:val="bullet"/>
      <w:lvlText w:val=""/>
      <w:lvlJc w:val="left"/>
      <w:pPr>
        <w:ind w:left="1080" w:hanging="360"/>
      </w:pPr>
      <w:rPr>
        <w:rFonts w:ascii="Symbol" w:hAnsi="Symbol"/>
      </w:rPr>
    </w:lvl>
    <w:lvl w:ilvl="2" w:tplc="BEE6F8CA">
      <w:start w:val="1"/>
      <w:numFmt w:val="bullet"/>
      <w:lvlText w:val=""/>
      <w:lvlJc w:val="left"/>
      <w:pPr>
        <w:ind w:left="1080" w:hanging="360"/>
      </w:pPr>
      <w:rPr>
        <w:rFonts w:ascii="Symbol" w:hAnsi="Symbol"/>
      </w:rPr>
    </w:lvl>
    <w:lvl w:ilvl="3" w:tplc="2152BD4C">
      <w:start w:val="1"/>
      <w:numFmt w:val="bullet"/>
      <w:lvlText w:val=""/>
      <w:lvlJc w:val="left"/>
      <w:pPr>
        <w:ind w:left="1080" w:hanging="360"/>
      </w:pPr>
      <w:rPr>
        <w:rFonts w:ascii="Symbol" w:hAnsi="Symbol"/>
      </w:rPr>
    </w:lvl>
    <w:lvl w:ilvl="4" w:tplc="96A250D6">
      <w:start w:val="1"/>
      <w:numFmt w:val="bullet"/>
      <w:lvlText w:val=""/>
      <w:lvlJc w:val="left"/>
      <w:pPr>
        <w:ind w:left="1080" w:hanging="360"/>
      </w:pPr>
      <w:rPr>
        <w:rFonts w:ascii="Symbol" w:hAnsi="Symbol"/>
      </w:rPr>
    </w:lvl>
    <w:lvl w:ilvl="5" w:tplc="B12680A6">
      <w:start w:val="1"/>
      <w:numFmt w:val="bullet"/>
      <w:lvlText w:val=""/>
      <w:lvlJc w:val="left"/>
      <w:pPr>
        <w:ind w:left="1080" w:hanging="360"/>
      </w:pPr>
      <w:rPr>
        <w:rFonts w:ascii="Symbol" w:hAnsi="Symbol"/>
      </w:rPr>
    </w:lvl>
    <w:lvl w:ilvl="6" w:tplc="DDDCE89E">
      <w:start w:val="1"/>
      <w:numFmt w:val="bullet"/>
      <w:lvlText w:val=""/>
      <w:lvlJc w:val="left"/>
      <w:pPr>
        <w:ind w:left="1080" w:hanging="360"/>
      </w:pPr>
      <w:rPr>
        <w:rFonts w:ascii="Symbol" w:hAnsi="Symbol"/>
      </w:rPr>
    </w:lvl>
    <w:lvl w:ilvl="7" w:tplc="B0289092">
      <w:start w:val="1"/>
      <w:numFmt w:val="bullet"/>
      <w:lvlText w:val=""/>
      <w:lvlJc w:val="left"/>
      <w:pPr>
        <w:ind w:left="1080" w:hanging="360"/>
      </w:pPr>
      <w:rPr>
        <w:rFonts w:ascii="Symbol" w:hAnsi="Symbol"/>
      </w:rPr>
    </w:lvl>
    <w:lvl w:ilvl="8" w:tplc="B680E0AC">
      <w:start w:val="1"/>
      <w:numFmt w:val="bullet"/>
      <w:lvlText w:val=""/>
      <w:lvlJc w:val="left"/>
      <w:pPr>
        <w:ind w:left="1080" w:hanging="360"/>
      </w:pPr>
      <w:rPr>
        <w:rFonts w:ascii="Symbol" w:hAnsi="Symbol"/>
      </w:rPr>
    </w:lvl>
  </w:abstractNum>
  <w:abstractNum w:abstractNumId="49" w15:restartNumberingAfterBreak="0">
    <w:nsid w:val="6C233FC2"/>
    <w:multiLevelType w:val="hybridMultilevel"/>
    <w:tmpl w:val="4880EE7E"/>
    <w:lvl w:ilvl="0" w:tplc="F63AC536">
      <w:start w:val="1"/>
      <w:numFmt w:val="bullet"/>
      <w:lvlText w:val=""/>
      <w:lvlJc w:val="left"/>
      <w:pPr>
        <w:ind w:left="720" w:hanging="360"/>
      </w:pPr>
      <w:rPr>
        <w:rFonts w:ascii="Symbol" w:hAnsi="Symbol"/>
      </w:rPr>
    </w:lvl>
    <w:lvl w:ilvl="1" w:tplc="20F48FDA">
      <w:start w:val="1"/>
      <w:numFmt w:val="bullet"/>
      <w:lvlText w:val=""/>
      <w:lvlJc w:val="left"/>
      <w:pPr>
        <w:ind w:left="720" w:hanging="360"/>
      </w:pPr>
      <w:rPr>
        <w:rFonts w:ascii="Symbol" w:hAnsi="Symbol"/>
      </w:rPr>
    </w:lvl>
    <w:lvl w:ilvl="2" w:tplc="1D28F05E">
      <w:start w:val="1"/>
      <w:numFmt w:val="bullet"/>
      <w:lvlText w:val=""/>
      <w:lvlJc w:val="left"/>
      <w:pPr>
        <w:ind w:left="720" w:hanging="360"/>
      </w:pPr>
      <w:rPr>
        <w:rFonts w:ascii="Symbol" w:hAnsi="Symbol"/>
      </w:rPr>
    </w:lvl>
    <w:lvl w:ilvl="3" w:tplc="0958CD9C">
      <w:start w:val="1"/>
      <w:numFmt w:val="bullet"/>
      <w:lvlText w:val=""/>
      <w:lvlJc w:val="left"/>
      <w:pPr>
        <w:ind w:left="720" w:hanging="360"/>
      </w:pPr>
      <w:rPr>
        <w:rFonts w:ascii="Symbol" w:hAnsi="Symbol"/>
      </w:rPr>
    </w:lvl>
    <w:lvl w:ilvl="4" w:tplc="64FA6640">
      <w:start w:val="1"/>
      <w:numFmt w:val="bullet"/>
      <w:lvlText w:val=""/>
      <w:lvlJc w:val="left"/>
      <w:pPr>
        <w:ind w:left="720" w:hanging="360"/>
      </w:pPr>
      <w:rPr>
        <w:rFonts w:ascii="Symbol" w:hAnsi="Symbol"/>
      </w:rPr>
    </w:lvl>
    <w:lvl w:ilvl="5" w:tplc="01FA36C6">
      <w:start w:val="1"/>
      <w:numFmt w:val="bullet"/>
      <w:lvlText w:val=""/>
      <w:lvlJc w:val="left"/>
      <w:pPr>
        <w:ind w:left="720" w:hanging="360"/>
      </w:pPr>
      <w:rPr>
        <w:rFonts w:ascii="Symbol" w:hAnsi="Symbol"/>
      </w:rPr>
    </w:lvl>
    <w:lvl w:ilvl="6" w:tplc="C5B068C4">
      <w:start w:val="1"/>
      <w:numFmt w:val="bullet"/>
      <w:lvlText w:val=""/>
      <w:lvlJc w:val="left"/>
      <w:pPr>
        <w:ind w:left="720" w:hanging="360"/>
      </w:pPr>
      <w:rPr>
        <w:rFonts w:ascii="Symbol" w:hAnsi="Symbol"/>
      </w:rPr>
    </w:lvl>
    <w:lvl w:ilvl="7" w:tplc="89CCBD3A">
      <w:start w:val="1"/>
      <w:numFmt w:val="bullet"/>
      <w:lvlText w:val=""/>
      <w:lvlJc w:val="left"/>
      <w:pPr>
        <w:ind w:left="720" w:hanging="360"/>
      </w:pPr>
      <w:rPr>
        <w:rFonts w:ascii="Symbol" w:hAnsi="Symbol"/>
      </w:rPr>
    </w:lvl>
    <w:lvl w:ilvl="8" w:tplc="0C045A54">
      <w:start w:val="1"/>
      <w:numFmt w:val="bullet"/>
      <w:lvlText w:val=""/>
      <w:lvlJc w:val="left"/>
      <w:pPr>
        <w:ind w:left="720" w:hanging="360"/>
      </w:pPr>
      <w:rPr>
        <w:rFonts w:ascii="Symbol" w:hAnsi="Symbol"/>
      </w:rPr>
    </w:lvl>
  </w:abstractNum>
  <w:abstractNum w:abstractNumId="50" w15:restartNumberingAfterBreak="0">
    <w:nsid w:val="6DC62374"/>
    <w:multiLevelType w:val="hybridMultilevel"/>
    <w:tmpl w:val="826612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0"/>
  </w:num>
  <w:num w:numId="4">
    <w:abstractNumId w:val="11"/>
  </w:num>
  <w:num w:numId="5">
    <w:abstractNumId w:val="12"/>
  </w:num>
  <w:num w:numId="6">
    <w:abstractNumId w:val="7"/>
  </w:num>
  <w:num w:numId="7">
    <w:abstractNumId w:val="38"/>
  </w:num>
  <w:num w:numId="8">
    <w:abstractNumId w:val="40"/>
  </w:num>
  <w:num w:numId="9">
    <w:abstractNumId w:val="0"/>
  </w:num>
  <w:num w:numId="10">
    <w:abstractNumId w:val="29"/>
  </w:num>
  <w:num w:numId="11">
    <w:abstractNumId w:val="8"/>
  </w:num>
  <w:num w:numId="12">
    <w:abstractNumId w:val="13"/>
  </w:num>
  <w:num w:numId="13">
    <w:abstractNumId w:val="50"/>
  </w:num>
  <w:num w:numId="14">
    <w:abstractNumId w:val="45"/>
  </w:num>
  <w:num w:numId="15">
    <w:abstractNumId w:val="9"/>
  </w:num>
  <w:num w:numId="16">
    <w:abstractNumId w:val="41"/>
  </w:num>
  <w:num w:numId="17">
    <w:abstractNumId w:val="44"/>
  </w:num>
  <w:num w:numId="18">
    <w:abstractNumId w:val="24"/>
  </w:num>
  <w:num w:numId="19">
    <w:abstractNumId w:val="6"/>
  </w:num>
  <w:num w:numId="20">
    <w:abstractNumId w:val="14"/>
  </w:num>
  <w:num w:numId="21">
    <w:abstractNumId w:val="1"/>
  </w:num>
  <w:num w:numId="22">
    <w:abstractNumId w:val="28"/>
  </w:num>
  <w:num w:numId="23">
    <w:abstractNumId w:val="32"/>
  </w:num>
  <w:num w:numId="24">
    <w:abstractNumId w:val="37"/>
  </w:num>
  <w:num w:numId="25">
    <w:abstractNumId w:val="3"/>
  </w:num>
  <w:num w:numId="26">
    <w:abstractNumId w:val="2"/>
  </w:num>
  <w:num w:numId="27">
    <w:abstractNumId w:val="27"/>
  </w:num>
  <w:num w:numId="28">
    <w:abstractNumId w:val="47"/>
  </w:num>
  <w:num w:numId="29">
    <w:abstractNumId w:val="43"/>
  </w:num>
  <w:num w:numId="30">
    <w:abstractNumId w:val="30"/>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48"/>
  </w:num>
  <w:num w:numId="34">
    <w:abstractNumId w:val="46"/>
  </w:num>
  <w:num w:numId="35">
    <w:abstractNumId w:val="39"/>
  </w:num>
  <w:num w:numId="36">
    <w:abstractNumId w:val="42"/>
  </w:num>
  <w:num w:numId="37">
    <w:abstractNumId w:val="49"/>
  </w:num>
  <w:num w:numId="38">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6" w:nlCheck="1" w:checkStyle="0"/>
  <w:activeWritingStyle w:appName="MSWord" w:lang="en-US" w:vendorID="64" w:dllVersion="0" w:nlCheck="1" w:checkStyle="0"/>
  <w:activeWritingStyle w:appName="MSWord" w:lang="de-AT" w:vendorID="64" w:dllVersion="0" w:nlCheck="1" w:checkStyle="0"/>
  <w:activeWritingStyle w:appName="MSWord" w:lang="en-US" w:vendorID="64" w:dllVersion="6" w:nlCheck="1" w:checkStyle="1"/>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efaultTabStop w:val="709"/>
  <w:autoHyphenation/>
  <w:hyphenationZone w:val="142"/>
  <w:doNotHyphenateCaps/>
  <w:drawingGridHorizontalSpacing w:val="57"/>
  <w:drawingGridVerticalSpacing w:val="57"/>
  <w:displayHorizont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DRAFTER_VERSION" w:val="3.40"/>
    <w:docVar w:name="DOCDRAFTERREINDEX" w:val="NO"/>
    <w:docVar w:name="DOCDRAFTERTASKPANE" w:val="4a758959-4005-49e2-b12e-cc3726bc675b"/>
    <w:docVar w:name="VERSIONDETAIL" w:val="0"/>
  </w:docVars>
  <w:rsids>
    <w:rsidRoot w:val="003F1496"/>
    <w:rsid w:val="00000C10"/>
    <w:rsid w:val="00003516"/>
    <w:rsid w:val="0001164B"/>
    <w:rsid w:val="00011957"/>
    <w:rsid w:val="00011CE1"/>
    <w:rsid w:val="00012C3A"/>
    <w:rsid w:val="00013439"/>
    <w:rsid w:val="00013A6E"/>
    <w:rsid w:val="00022116"/>
    <w:rsid w:val="00022B0F"/>
    <w:rsid w:val="00023271"/>
    <w:rsid w:val="00023A70"/>
    <w:rsid w:val="0002461E"/>
    <w:rsid w:val="0002673F"/>
    <w:rsid w:val="0003049C"/>
    <w:rsid w:val="00034967"/>
    <w:rsid w:val="00037A0B"/>
    <w:rsid w:val="00044196"/>
    <w:rsid w:val="000447B5"/>
    <w:rsid w:val="00050045"/>
    <w:rsid w:val="00052EDA"/>
    <w:rsid w:val="000545D2"/>
    <w:rsid w:val="00054C2F"/>
    <w:rsid w:val="00060E40"/>
    <w:rsid w:val="00065BBA"/>
    <w:rsid w:val="000671F2"/>
    <w:rsid w:val="00067260"/>
    <w:rsid w:val="0007107E"/>
    <w:rsid w:val="0007338D"/>
    <w:rsid w:val="000734A0"/>
    <w:rsid w:val="000738EF"/>
    <w:rsid w:val="000738F8"/>
    <w:rsid w:val="0007396F"/>
    <w:rsid w:val="00076F2B"/>
    <w:rsid w:val="0008057B"/>
    <w:rsid w:val="00080784"/>
    <w:rsid w:val="00086F51"/>
    <w:rsid w:val="00090978"/>
    <w:rsid w:val="00094D4F"/>
    <w:rsid w:val="00096C3E"/>
    <w:rsid w:val="000A29D1"/>
    <w:rsid w:val="000A3385"/>
    <w:rsid w:val="000A3729"/>
    <w:rsid w:val="000A3900"/>
    <w:rsid w:val="000A6794"/>
    <w:rsid w:val="000B0D77"/>
    <w:rsid w:val="000B1552"/>
    <w:rsid w:val="000B2A1E"/>
    <w:rsid w:val="000B56F6"/>
    <w:rsid w:val="000C2966"/>
    <w:rsid w:val="000C3468"/>
    <w:rsid w:val="000C5154"/>
    <w:rsid w:val="000C5163"/>
    <w:rsid w:val="000C527A"/>
    <w:rsid w:val="000C56B2"/>
    <w:rsid w:val="000C5E19"/>
    <w:rsid w:val="000D06A8"/>
    <w:rsid w:val="000D1B9B"/>
    <w:rsid w:val="000D5FD3"/>
    <w:rsid w:val="000D74A1"/>
    <w:rsid w:val="000D7690"/>
    <w:rsid w:val="000E037F"/>
    <w:rsid w:val="000E0525"/>
    <w:rsid w:val="000E067F"/>
    <w:rsid w:val="000E0830"/>
    <w:rsid w:val="000E0F8D"/>
    <w:rsid w:val="000E2075"/>
    <w:rsid w:val="000E3024"/>
    <w:rsid w:val="000E36BF"/>
    <w:rsid w:val="000E48B5"/>
    <w:rsid w:val="000E48FB"/>
    <w:rsid w:val="000F3105"/>
    <w:rsid w:val="000F777B"/>
    <w:rsid w:val="0010035C"/>
    <w:rsid w:val="00101162"/>
    <w:rsid w:val="001039F0"/>
    <w:rsid w:val="00105B5A"/>
    <w:rsid w:val="00106192"/>
    <w:rsid w:val="001148E7"/>
    <w:rsid w:val="00120508"/>
    <w:rsid w:val="00122A1C"/>
    <w:rsid w:val="00122A52"/>
    <w:rsid w:val="00122D57"/>
    <w:rsid w:val="00124505"/>
    <w:rsid w:val="00126675"/>
    <w:rsid w:val="0012676C"/>
    <w:rsid w:val="00130522"/>
    <w:rsid w:val="0013228F"/>
    <w:rsid w:val="001330A6"/>
    <w:rsid w:val="00133166"/>
    <w:rsid w:val="00134DDC"/>
    <w:rsid w:val="00134FBD"/>
    <w:rsid w:val="001366A3"/>
    <w:rsid w:val="00136783"/>
    <w:rsid w:val="00137B1D"/>
    <w:rsid w:val="00137D37"/>
    <w:rsid w:val="00140446"/>
    <w:rsid w:val="00141A46"/>
    <w:rsid w:val="001437E1"/>
    <w:rsid w:val="00143965"/>
    <w:rsid w:val="00146572"/>
    <w:rsid w:val="00146DCB"/>
    <w:rsid w:val="001512E1"/>
    <w:rsid w:val="00152220"/>
    <w:rsid w:val="00153665"/>
    <w:rsid w:val="001539E0"/>
    <w:rsid w:val="00153B53"/>
    <w:rsid w:val="001550D7"/>
    <w:rsid w:val="001614A9"/>
    <w:rsid w:val="001619D6"/>
    <w:rsid w:val="00162E86"/>
    <w:rsid w:val="00165D0A"/>
    <w:rsid w:val="00167873"/>
    <w:rsid w:val="00170515"/>
    <w:rsid w:val="00170885"/>
    <w:rsid w:val="00171C7A"/>
    <w:rsid w:val="0017416B"/>
    <w:rsid w:val="0017730B"/>
    <w:rsid w:val="00180F1B"/>
    <w:rsid w:val="00184F99"/>
    <w:rsid w:val="0018681A"/>
    <w:rsid w:val="00186CB1"/>
    <w:rsid w:val="00187C8C"/>
    <w:rsid w:val="00190011"/>
    <w:rsid w:val="00190A0C"/>
    <w:rsid w:val="00190C10"/>
    <w:rsid w:val="0019208A"/>
    <w:rsid w:val="00195854"/>
    <w:rsid w:val="00195C44"/>
    <w:rsid w:val="00196A62"/>
    <w:rsid w:val="001A0143"/>
    <w:rsid w:val="001A3013"/>
    <w:rsid w:val="001A38C7"/>
    <w:rsid w:val="001B07C2"/>
    <w:rsid w:val="001B0DFE"/>
    <w:rsid w:val="001B28CD"/>
    <w:rsid w:val="001B3DE5"/>
    <w:rsid w:val="001B75EC"/>
    <w:rsid w:val="001C07E6"/>
    <w:rsid w:val="001C0A95"/>
    <w:rsid w:val="001C2388"/>
    <w:rsid w:val="001C6209"/>
    <w:rsid w:val="001C7529"/>
    <w:rsid w:val="001D16A4"/>
    <w:rsid w:val="001D1BA6"/>
    <w:rsid w:val="001D28DD"/>
    <w:rsid w:val="001D442C"/>
    <w:rsid w:val="001D6051"/>
    <w:rsid w:val="001D643A"/>
    <w:rsid w:val="001D7468"/>
    <w:rsid w:val="001E12F8"/>
    <w:rsid w:val="001E1B33"/>
    <w:rsid w:val="001E75B8"/>
    <w:rsid w:val="001E7829"/>
    <w:rsid w:val="001F062D"/>
    <w:rsid w:val="001F2E64"/>
    <w:rsid w:val="001F2F0E"/>
    <w:rsid w:val="001F304D"/>
    <w:rsid w:val="001F3996"/>
    <w:rsid w:val="001F46FA"/>
    <w:rsid w:val="001F67C4"/>
    <w:rsid w:val="00203396"/>
    <w:rsid w:val="00203519"/>
    <w:rsid w:val="00204DD4"/>
    <w:rsid w:val="00205B76"/>
    <w:rsid w:val="00207C41"/>
    <w:rsid w:val="002100FA"/>
    <w:rsid w:val="0021090F"/>
    <w:rsid w:val="002131F4"/>
    <w:rsid w:val="00214B3C"/>
    <w:rsid w:val="00223C7D"/>
    <w:rsid w:val="0022453B"/>
    <w:rsid w:val="00226114"/>
    <w:rsid w:val="002315EA"/>
    <w:rsid w:val="00231F22"/>
    <w:rsid w:val="0023215C"/>
    <w:rsid w:val="0023647A"/>
    <w:rsid w:val="00241953"/>
    <w:rsid w:val="00242218"/>
    <w:rsid w:val="00242C48"/>
    <w:rsid w:val="00244BA2"/>
    <w:rsid w:val="00244C88"/>
    <w:rsid w:val="002453BD"/>
    <w:rsid w:val="0024696A"/>
    <w:rsid w:val="00247BFD"/>
    <w:rsid w:val="002500BD"/>
    <w:rsid w:val="00254CD9"/>
    <w:rsid w:val="0027010E"/>
    <w:rsid w:val="0027144D"/>
    <w:rsid w:val="00276AE0"/>
    <w:rsid w:val="00282623"/>
    <w:rsid w:val="00283BEF"/>
    <w:rsid w:val="00284E28"/>
    <w:rsid w:val="00287963"/>
    <w:rsid w:val="00290188"/>
    <w:rsid w:val="00290CF9"/>
    <w:rsid w:val="00294350"/>
    <w:rsid w:val="00294D25"/>
    <w:rsid w:val="002954DD"/>
    <w:rsid w:val="00295571"/>
    <w:rsid w:val="002957CC"/>
    <w:rsid w:val="00297387"/>
    <w:rsid w:val="002A005F"/>
    <w:rsid w:val="002A1BEC"/>
    <w:rsid w:val="002A3938"/>
    <w:rsid w:val="002A3A6B"/>
    <w:rsid w:val="002A3BC0"/>
    <w:rsid w:val="002A475B"/>
    <w:rsid w:val="002B0C5E"/>
    <w:rsid w:val="002B1215"/>
    <w:rsid w:val="002B4A06"/>
    <w:rsid w:val="002B5DB3"/>
    <w:rsid w:val="002C01ED"/>
    <w:rsid w:val="002C0B7C"/>
    <w:rsid w:val="002C1D75"/>
    <w:rsid w:val="002C29FE"/>
    <w:rsid w:val="002C4207"/>
    <w:rsid w:val="002C61C0"/>
    <w:rsid w:val="002D1D1C"/>
    <w:rsid w:val="002D2553"/>
    <w:rsid w:val="002D2F52"/>
    <w:rsid w:val="002D39E5"/>
    <w:rsid w:val="002D3CAF"/>
    <w:rsid w:val="002D3CB7"/>
    <w:rsid w:val="002D4688"/>
    <w:rsid w:val="002D5934"/>
    <w:rsid w:val="002D63FF"/>
    <w:rsid w:val="002E1C85"/>
    <w:rsid w:val="002E47B0"/>
    <w:rsid w:val="002F37CB"/>
    <w:rsid w:val="002F40DC"/>
    <w:rsid w:val="002F5DE2"/>
    <w:rsid w:val="003002C8"/>
    <w:rsid w:val="003002DD"/>
    <w:rsid w:val="00301439"/>
    <w:rsid w:val="003072D4"/>
    <w:rsid w:val="00310EBA"/>
    <w:rsid w:val="0031353C"/>
    <w:rsid w:val="00313732"/>
    <w:rsid w:val="00313B0E"/>
    <w:rsid w:val="00314F79"/>
    <w:rsid w:val="00316645"/>
    <w:rsid w:val="003200A5"/>
    <w:rsid w:val="00323BB6"/>
    <w:rsid w:val="00323EEA"/>
    <w:rsid w:val="00325431"/>
    <w:rsid w:val="00325ABA"/>
    <w:rsid w:val="003269D8"/>
    <w:rsid w:val="003272C5"/>
    <w:rsid w:val="00327F81"/>
    <w:rsid w:val="003306EF"/>
    <w:rsid w:val="00332C06"/>
    <w:rsid w:val="003349DE"/>
    <w:rsid w:val="00334A20"/>
    <w:rsid w:val="00335A03"/>
    <w:rsid w:val="0034019E"/>
    <w:rsid w:val="0034031B"/>
    <w:rsid w:val="0034078F"/>
    <w:rsid w:val="00341031"/>
    <w:rsid w:val="00342016"/>
    <w:rsid w:val="0034446C"/>
    <w:rsid w:val="00344DAC"/>
    <w:rsid w:val="003474BD"/>
    <w:rsid w:val="003516C4"/>
    <w:rsid w:val="00351FA9"/>
    <w:rsid w:val="00352AC4"/>
    <w:rsid w:val="00353463"/>
    <w:rsid w:val="00353906"/>
    <w:rsid w:val="00353C06"/>
    <w:rsid w:val="00355077"/>
    <w:rsid w:val="00355EFA"/>
    <w:rsid w:val="00357CB6"/>
    <w:rsid w:val="003604C8"/>
    <w:rsid w:val="003609F9"/>
    <w:rsid w:val="003618FD"/>
    <w:rsid w:val="00362E07"/>
    <w:rsid w:val="00364008"/>
    <w:rsid w:val="0036420B"/>
    <w:rsid w:val="003664AE"/>
    <w:rsid w:val="003670C9"/>
    <w:rsid w:val="0036799D"/>
    <w:rsid w:val="0037075F"/>
    <w:rsid w:val="00372530"/>
    <w:rsid w:val="00373D3A"/>
    <w:rsid w:val="00375404"/>
    <w:rsid w:val="0037673D"/>
    <w:rsid w:val="00376AB3"/>
    <w:rsid w:val="00377D0D"/>
    <w:rsid w:val="00381B92"/>
    <w:rsid w:val="003835A8"/>
    <w:rsid w:val="00385E3C"/>
    <w:rsid w:val="003877B0"/>
    <w:rsid w:val="00387AB0"/>
    <w:rsid w:val="0039269B"/>
    <w:rsid w:val="00393EE3"/>
    <w:rsid w:val="003957AE"/>
    <w:rsid w:val="003A07EC"/>
    <w:rsid w:val="003A1AAB"/>
    <w:rsid w:val="003A47A5"/>
    <w:rsid w:val="003A489D"/>
    <w:rsid w:val="003A5EE7"/>
    <w:rsid w:val="003A7D38"/>
    <w:rsid w:val="003B149E"/>
    <w:rsid w:val="003B2543"/>
    <w:rsid w:val="003B3A5A"/>
    <w:rsid w:val="003B7838"/>
    <w:rsid w:val="003B78B4"/>
    <w:rsid w:val="003C00D5"/>
    <w:rsid w:val="003C2A57"/>
    <w:rsid w:val="003D0DD1"/>
    <w:rsid w:val="003D2419"/>
    <w:rsid w:val="003D3256"/>
    <w:rsid w:val="003D49A4"/>
    <w:rsid w:val="003D5309"/>
    <w:rsid w:val="003D75F6"/>
    <w:rsid w:val="003E0CE6"/>
    <w:rsid w:val="003E102A"/>
    <w:rsid w:val="003E17E9"/>
    <w:rsid w:val="003E391C"/>
    <w:rsid w:val="003E5374"/>
    <w:rsid w:val="003E6ED6"/>
    <w:rsid w:val="003E7B48"/>
    <w:rsid w:val="003F13A1"/>
    <w:rsid w:val="003F1496"/>
    <w:rsid w:val="003F1720"/>
    <w:rsid w:val="003F272B"/>
    <w:rsid w:val="003F34C9"/>
    <w:rsid w:val="003F38D7"/>
    <w:rsid w:val="003F3977"/>
    <w:rsid w:val="003F5AC4"/>
    <w:rsid w:val="003F5F23"/>
    <w:rsid w:val="003F5FE1"/>
    <w:rsid w:val="003F6969"/>
    <w:rsid w:val="004007BA"/>
    <w:rsid w:val="0040091E"/>
    <w:rsid w:val="00401B40"/>
    <w:rsid w:val="00403802"/>
    <w:rsid w:val="0040627B"/>
    <w:rsid w:val="0041017B"/>
    <w:rsid w:val="00410F9C"/>
    <w:rsid w:val="004124F2"/>
    <w:rsid w:val="00420898"/>
    <w:rsid w:val="004212EF"/>
    <w:rsid w:val="00422DEF"/>
    <w:rsid w:val="00424862"/>
    <w:rsid w:val="00426A95"/>
    <w:rsid w:val="00427EB6"/>
    <w:rsid w:val="0043235C"/>
    <w:rsid w:val="00434F33"/>
    <w:rsid w:val="00437123"/>
    <w:rsid w:val="00440DA7"/>
    <w:rsid w:val="004508D7"/>
    <w:rsid w:val="00452105"/>
    <w:rsid w:val="004528C2"/>
    <w:rsid w:val="00452E25"/>
    <w:rsid w:val="00454573"/>
    <w:rsid w:val="00454BC2"/>
    <w:rsid w:val="00455501"/>
    <w:rsid w:val="00455E4C"/>
    <w:rsid w:val="00457154"/>
    <w:rsid w:val="0046639D"/>
    <w:rsid w:val="00466D5B"/>
    <w:rsid w:val="00470CA8"/>
    <w:rsid w:val="00472F19"/>
    <w:rsid w:val="00473456"/>
    <w:rsid w:val="00474D3C"/>
    <w:rsid w:val="0048142F"/>
    <w:rsid w:val="00482D64"/>
    <w:rsid w:val="00483EC2"/>
    <w:rsid w:val="0048402A"/>
    <w:rsid w:val="00486DEE"/>
    <w:rsid w:val="00486E36"/>
    <w:rsid w:val="00487E8C"/>
    <w:rsid w:val="00491133"/>
    <w:rsid w:val="00491F49"/>
    <w:rsid w:val="004A1A89"/>
    <w:rsid w:val="004A256A"/>
    <w:rsid w:val="004A2810"/>
    <w:rsid w:val="004A3427"/>
    <w:rsid w:val="004A3AAC"/>
    <w:rsid w:val="004A3F99"/>
    <w:rsid w:val="004A6EC9"/>
    <w:rsid w:val="004B008D"/>
    <w:rsid w:val="004B0E0E"/>
    <w:rsid w:val="004B4CAA"/>
    <w:rsid w:val="004B686C"/>
    <w:rsid w:val="004C16BE"/>
    <w:rsid w:val="004C23DC"/>
    <w:rsid w:val="004C35B9"/>
    <w:rsid w:val="004C4A27"/>
    <w:rsid w:val="004C6717"/>
    <w:rsid w:val="004C739A"/>
    <w:rsid w:val="004D0BDC"/>
    <w:rsid w:val="004D1364"/>
    <w:rsid w:val="004D1EB0"/>
    <w:rsid w:val="004D2733"/>
    <w:rsid w:val="004D4FAA"/>
    <w:rsid w:val="004D73C5"/>
    <w:rsid w:val="004D7F84"/>
    <w:rsid w:val="004E0D58"/>
    <w:rsid w:val="004E48CB"/>
    <w:rsid w:val="004E64AF"/>
    <w:rsid w:val="004F0BB2"/>
    <w:rsid w:val="004F0C23"/>
    <w:rsid w:val="004F3D2E"/>
    <w:rsid w:val="004F3D79"/>
    <w:rsid w:val="004F5A4B"/>
    <w:rsid w:val="004F7457"/>
    <w:rsid w:val="0050018A"/>
    <w:rsid w:val="0050151D"/>
    <w:rsid w:val="005024C2"/>
    <w:rsid w:val="005028EC"/>
    <w:rsid w:val="005033BB"/>
    <w:rsid w:val="00503F13"/>
    <w:rsid w:val="005059DB"/>
    <w:rsid w:val="00511289"/>
    <w:rsid w:val="00512D24"/>
    <w:rsid w:val="005144BB"/>
    <w:rsid w:val="00514BD0"/>
    <w:rsid w:val="00515CD3"/>
    <w:rsid w:val="00517397"/>
    <w:rsid w:val="005212BE"/>
    <w:rsid w:val="005311B2"/>
    <w:rsid w:val="00531753"/>
    <w:rsid w:val="00532767"/>
    <w:rsid w:val="0053308F"/>
    <w:rsid w:val="00533AD8"/>
    <w:rsid w:val="00536706"/>
    <w:rsid w:val="00537280"/>
    <w:rsid w:val="00541166"/>
    <w:rsid w:val="00541E9F"/>
    <w:rsid w:val="005478EC"/>
    <w:rsid w:val="005509D0"/>
    <w:rsid w:val="0055124C"/>
    <w:rsid w:val="00561B9F"/>
    <w:rsid w:val="00563AEA"/>
    <w:rsid w:val="005646DF"/>
    <w:rsid w:val="00564DE3"/>
    <w:rsid w:val="0056609A"/>
    <w:rsid w:val="00566316"/>
    <w:rsid w:val="005702DC"/>
    <w:rsid w:val="005717BE"/>
    <w:rsid w:val="005734B1"/>
    <w:rsid w:val="00574128"/>
    <w:rsid w:val="0057466B"/>
    <w:rsid w:val="005756E0"/>
    <w:rsid w:val="005812C2"/>
    <w:rsid w:val="005820E3"/>
    <w:rsid w:val="00584217"/>
    <w:rsid w:val="005843FD"/>
    <w:rsid w:val="005846DF"/>
    <w:rsid w:val="005857DB"/>
    <w:rsid w:val="00586071"/>
    <w:rsid w:val="0058706C"/>
    <w:rsid w:val="00587160"/>
    <w:rsid w:val="00587F43"/>
    <w:rsid w:val="00594CC1"/>
    <w:rsid w:val="005977A2"/>
    <w:rsid w:val="005A34A4"/>
    <w:rsid w:val="005A54F5"/>
    <w:rsid w:val="005A6A42"/>
    <w:rsid w:val="005A7E86"/>
    <w:rsid w:val="005B0BAE"/>
    <w:rsid w:val="005B1979"/>
    <w:rsid w:val="005B3926"/>
    <w:rsid w:val="005B5C03"/>
    <w:rsid w:val="005B5D00"/>
    <w:rsid w:val="005C2FC7"/>
    <w:rsid w:val="005C47A2"/>
    <w:rsid w:val="005D13D3"/>
    <w:rsid w:val="005D1829"/>
    <w:rsid w:val="005D2FA6"/>
    <w:rsid w:val="005D3811"/>
    <w:rsid w:val="005D4488"/>
    <w:rsid w:val="005D4E45"/>
    <w:rsid w:val="005D655E"/>
    <w:rsid w:val="005E04A0"/>
    <w:rsid w:val="005E41CB"/>
    <w:rsid w:val="005E476B"/>
    <w:rsid w:val="005E7036"/>
    <w:rsid w:val="005F0882"/>
    <w:rsid w:val="005F2371"/>
    <w:rsid w:val="005F379A"/>
    <w:rsid w:val="005F47AA"/>
    <w:rsid w:val="005F4E6C"/>
    <w:rsid w:val="005F75DE"/>
    <w:rsid w:val="005F7BE0"/>
    <w:rsid w:val="00601D31"/>
    <w:rsid w:val="00607C6F"/>
    <w:rsid w:val="00610D4D"/>
    <w:rsid w:val="006112EE"/>
    <w:rsid w:val="00612BFE"/>
    <w:rsid w:val="0061429E"/>
    <w:rsid w:val="00621CC7"/>
    <w:rsid w:val="00621E4B"/>
    <w:rsid w:val="00621F76"/>
    <w:rsid w:val="00622832"/>
    <w:rsid w:val="00624EE0"/>
    <w:rsid w:val="0062560F"/>
    <w:rsid w:val="00625E47"/>
    <w:rsid w:val="00626532"/>
    <w:rsid w:val="00627D6E"/>
    <w:rsid w:val="006318CE"/>
    <w:rsid w:val="00631CCB"/>
    <w:rsid w:val="0063572D"/>
    <w:rsid w:val="00637D7A"/>
    <w:rsid w:val="00640A88"/>
    <w:rsid w:val="00641197"/>
    <w:rsid w:val="00641648"/>
    <w:rsid w:val="0064188A"/>
    <w:rsid w:val="006430B4"/>
    <w:rsid w:val="006433BB"/>
    <w:rsid w:val="00644E1F"/>
    <w:rsid w:val="00645619"/>
    <w:rsid w:val="00647C13"/>
    <w:rsid w:val="00651022"/>
    <w:rsid w:val="00652A34"/>
    <w:rsid w:val="00652F41"/>
    <w:rsid w:val="006531E7"/>
    <w:rsid w:val="00653F5D"/>
    <w:rsid w:val="00657387"/>
    <w:rsid w:val="006641CE"/>
    <w:rsid w:val="00664CBF"/>
    <w:rsid w:val="006657EB"/>
    <w:rsid w:val="00667776"/>
    <w:rsid w:val="0066783F"/>
    <w:rsid w:val="00667A41"/>
    <w:rsid w:val="00670E25"/>
    <w:rsid w:val="006713A6"/>
    <w:rsid w:val="00672133"/>
    <w:rsid w:val="00675209"/>
    <w:rsid w:val="00677DB4"/>
    <w:rsid w:val="00693B4B"/>
    <w:rsid w:val="006946D4"/>
    <w:rsid w:val="00694953"/>
    <w:rsid w:val="00694F27"/>
    <w:rsid w:val="00697A20"/>
    <w:rsid w:val="006A48DE"/>
    <w:rsid w:val="006A6686"/>
    <w:rsid w:val="006B66B7"/>
    <w:rsid w:val="006C19E1"/>
    <w:rsid w:val="006C26C2"/>
    <w:rsid w:val="006C3AF7"/>
    <w:rsid w:val="006C5B30"/>
    <w:rsid w:val="006C5CC9"/>
    <w:rsid w:val="006D2592"/>
    <w:rsid w:val="006D32E7"/>
    <w:rsid w:val="006D4FAA"/>
    <w:rsid w:val="006D6BD9"/>
    <w:rsid w:val="006D733E"/>
    <w:rsid w:val="006E0BC1"/>
    <w:rsid w:val="006E46C8"/>
    <w:rsid w:val="006E64A6"/>
    <w:rsid w:val="006F12FA"/>
    <w:rsid w:val="007018A7"/>
    <w:rsid w:val="00702429"/>
    <w:rsid w:val="00702D74"/>
    <w:rsid w:val="007045FF"/>
    <w:rsid w:val="00706774"/>
    <w:rsid w:val="00711512"/>
    <w:rsid w:val="00711F5C"/>
    <w:rsid w:val="00711F6C"/>
    <w:rsid w:val="00712B46"/>
    <w:rsid w:val="00715495"/>
    <w:rsid w:val="007265EA"/>
    <w:rsid w:val="00730FA5"/>
    <w:rsid w:val="00731222"/>
    <w:rsid w:val="00732DEA"/>
    <w:rsid w:val="00732FA5"/>
    <w:rsid w:val="00733065"/>
    <w:rsid w:val="00734E28"/>
    <w:rsid w:val="0073502D"/>
    <w:rsid w:val="007441F7"/>
    <w:rsid w:val="007458C4"/>
    <w:rsid w:val="00746750"/>
    <w:rsid w:val="007542F1"/>
    <w:rsid w:val="007571C9"/>
    <w:rsid w:val="00757892"/>
    <w:rsid w:val="0076019B"/>
    <w:rsid w:val="00760A7A"/>
    <w:rsid w:val="007616B7"/>
    <w:rsid w:val="00761E71"/>
    <w:rsid w:val="00764F8C"/>
    <w:rsid w:val="00765618"/>
    <w:rsid w:val="00765C31"/>
    <w:rsid w:val="00770D6C"/>
    <w:rsid w:val="00775058"/>
    <w:rsid w:val="00775CB6"/>
    <w:rsid w:val="00775CE3"/>
    <w:rsid w:val="007771CB"/>
    <w:rsid w:val="00777A86"/>
    <w:rsid w:val="00783F6B"/>
    <w:rsid w:val="007879BF"/>
    <w:rsid w:val="00787B97"/>
    <w:rsid w:val="00790030"/>
    <w:rsid w:val="00796784"/>
    <w:rsid w:val="00797940"/>
    <w:rsid w:val="007A144A"/>
    <w:rsid w:val="007A14AB"/>
    <w:rsid w:val="007A2D83"/>
    <w:rsid w:val="007A3227"/>
    <w:rsid w:val="007A6732"/>
    <w:rsid w:val="007B1EE1"/>
    <w:rsid w:val="007B2D11"/>
    <w:rsid w:val="007C1EB9"/>
    <w:rsid w:val="007C2961"/>
    <w:rsid w:val="007C4316"/>
    <w:rsid w:val="007C4680"/>
    <w:rsid w:val="007C46A3"/>
    <w:rsid w:val="007C48D0"/>
    <w:rsid w:val="007C5051"/>
    <w:rsid w:val="007D03ED"/>
    <w:rsid w:val="007D234C"/>
    <w:rsid w:val="007D37F1"/>
    <w:rsid w:val="007E580F"/>
    <w:rsid w:val="007F1109"/>
    <w:rsid w:val="007F1356"/>
    <w:rsid w:val="007F1FDD"/>
    <w:rsid w:val="007F4BB0"/>
    <w:rsid w:val="007F67D2"/>
    <w:rsid w:val="007F6E3A"/>
    <w:rsid w:val="0081051E"/>
    <w:rsid w:val="00814C6B"/>
    <w:rsid w:val="00814E45"/>
    <w:rsid w:val="0081522A"/>
    <w:rsid w:val="00816878"/>
    <w:rsid w:val="00816B45"/>
    <w:rsid w:val="0081709C"/>
    <w:rsid w:val="008175DD"/>
    <w:rsid w:val="00817AAA"/>
    <w:rsid w:val="00821F27"/>
    <w:rsid w:val="008226FF"/>
    <w:rsid w:val="00823784"/>
    <w:rsid w:val="008238AF"/>
    <w:rsid w:val="008242F0"/>
    <w:rsid w:val="00825748"/>
    <w:rsid w:val="00825B5D"/>
    <w:rsid w:val="0082676C"/>
    <w:rsid w:val="00827B70"/>
    <w:rsid w:val="0083269F"/>
    <w:rsid w:val="008335C4"/>
    <w:rsid w:val="008349A9"/>
    <w:rsid w:val="00835668"/>
    <w:rsid w:val="00836F2F"/>
    <w:rsid w:val="00837FAA"/>
    <w:rsid w:val="00841872"/>
    <w:rsid w:val="008426AE"/>
    <w:rsid w:val="008438F3"/>
    <w:rsid w:val="00846F46"/>
    <w:rsid w:val="00851C59"/>
    <w:rsid w:val="0085740A"/>
    <w:rsid w:val="008603E3"/>
    <w:rsid w:val="008622AA"/>
    <w:rsid w:val="008622E4"/>
    <w:rsid w:val="00870CC4"/>
    <w:rsid w:val="008718ED"/>
    <w:rsid w:val="00872932"/>
    <w:rsid w:val="00873903"/>
    <w:rsid w:val="00874159"/>
    <w:rsid w:val="00877235"/>
    <w:rsid w:val="0087730C"/>
    <w:rsid w:val="00877DE0"/>
    <w:rsid w:val="0088029A"/>
    <w:rsid w:val="008835D6"/>
    <w:rsid w:val="0088463B"/>
    <w:rsid w:val="00884A66"/>
    <w:rsid w:val="00886B03"/>
    <w:rsid w:val="00886F1C"/>
    <w:rsid w:val="00887E85"/>
    <w:rsid w:val="008922B9"/>
    <w:rsid w:val="00893109"/>
    <w:rsid w:val="0089605B"/>
    <w:rsid w:val="00896B77"/>
    <w:rsid w:val="008A0C39"/>
    <w:rsid w:val="008A78D8"/>
    <w:rsid w:val="008A7F6D"/>
    <w:rsid w:val="008B04C0"/>
    <w:rsid w:val="008B0907"/>
    <w:rsid w:val="008B2C23"/>
    <w:rsid w:val="008B51C0"/>
    <w:rsid w:val="008B55D5"/>
    <w:rsid w:val="008B578D"/>
    <w:rsid w:val="008B68CE"/>
    <w:rsid w:val="008B7845"/>
    <w:rsid w:val="008C3A9A"/>
    <w:rsid w:val="008C4C97"/>
    <w:rsid w:val="008C5749"/>
    <w:rsid w:val="008C7D2B"/>
    <w:rsid w:val="008D0B53"/>
    <w:rsid w:val="008D0D43"/>
    <w:rsid w:val="008D12BA"/>
    <w:rsid w:val="008D17C2"/>
    <w:rsid w:val="008D2F22"/>
    <w:rsid w:val="008D3361"/>
    <w:rsid w:val="008D3C90"/>
    <w:rsid w:val="008D6481"/>
    <w:rsid w:val="008D7E38"/>
    <w:rsid w:val="008E16B6"/>
    <w:rsid w:val="008E3655"/>
    <w:rsid w:val="008E41DF"/>
    <w:rsid w:val="008E69BA"/>
    <w:rsid w:val="008E775F"/>
    <w:rsid w:val="008F118C"/>
    <w:rsid w:val="008F2AF3"/>
    <w:rsid w:val="008F3227"/>
    <w:rsid w:val="008F4D11"/>
    <w:rsid w:val="008F4F8E"/>
    <w:rsid w:val="008F764A"/>
    <w:rsid w:val="00903099"/>
    <w:rsid w:val="009043F3"/>
    <w:rsid w:val="00904F1A"/>
    <w:rsid w:val="00905298"/>
    <w:rsid w:val="009059A2"/>
    <w:rsid w:val="00906D8F"/>
    <w:rsid w:val="009112CB"/>
    <w:rsid w:val="0091323D"/>
    <w:rsid w:val="00913DC6"/>
    <w:rsid w:val="00916943"/>
    <w:rsid w:val="009221A4"/>
    <w:rsid w:val="00924888"/>
    <w:rsid w:val="009324AB"/>
    <w:rsid w:val="00934599"/>
    <w:rsid w:val="00936452"/>
    <w:rsid w:val="00936FAC"/>
    <w:rsid w:val="009413F0"/>
    <w:rsid w:val="009417A7"/>
    <w:rsid w:val="00951C60"/>
    <w:rsid w:val="00952997"/>
    <w:rsid w:val="0095457A"/>
    <w:rsid w:val="00954D89"/>
    <w:rsid w:val="0095683A"/>
    <w:rsid w:val="00957A01"/>
    <w:rsid w:val="00960082"/>
    <w:rsid w:val="00960330"/>
    <w:rsid w:val="00964D8E"/>
    <w:rsid w:val="00967D9C"/>
    <w:rsid w:val="00967FB9"/>
    <w:rsid w:val="009728D4"/>
    <w:rsid w:val="00974B91"/>
    <w:rsid w:val="00975634"/>
    <w:rsid w:val="00980D99"/>
    <w:rsid w:val="00981D98"/>
    <w:rsid w:val="00983C2C"/>
    <w:rsid w:val="00986437"/>
    <w:rsid w:val="00986616"/>
    <w:rsid w:val="0099163C"/>
    <w:rsid w:val="009A1990"/>
    <w:rsid w:val="009A1F62"/>
    <w:rsid w:val="009A35B9"/>
    <w:rsid w:val="009A48F9"/>
    <w:rsid w:val="009A4B27"/>
    <w:rsid w:val="009A4C07"/>
    <w:rsid w:val="009A6403"/>
    <w:rsid w:val="009A7863"/>
    <w:rsid w:val="009B012D"/>
    <w:rsid w:val="009B105E"/>
    <w:rsid w:val="009B21AE"/>
    <w:rsid w:val="009B3665"/>
    <w:rsid w:val="009B44C3"/>
    <w:rsid w:val="009C1C1D"/>
    <w:rsid w:val="009C6EAB"/>
    <w:rsid w:val="009D2940"/>
    <w:rsid w:val="009D4481"/>
    <w:rsid w:val="009D7458"/>
    <w:rsid w:val="009E1720"/>
    <w:rsid w:val="009E39E4"/>
    <w:rsid w:val="009E6A56"/>
    <w:rsid w:val="009F0574"/>
    <w:rsid w:val="009F08CF"/>
    <w:rsid w:val="009F0FFF"/>
    <w:rsid w:val="009F2090"/>
    <w:rsid w:val="009F21E6"/>
    <w:rsid w:val="009F7E3D"/>
    <w:rsid w:val="00A0037C"/>
    <w:rsid w:val="00A02A07"/>
    <w:rsid w:val="00A04518"/>
    <w:rsid w:val="00A0548B"/>
    <w:rsid w:val="00A05758"/>
    <w:rsid w:val="00A06CC6"/>
    <w:rsid w:val="00A071B7"/>
    <w:rsid w:val="00A1206C"/>
    <w:rsid w:val="00A12A6B"/>
    <w:rsid w:val="00A133DD"/>
    <w:rsid w:val="00A14032"/>
    <w:rsid w:val="00A2215A"/>
    <w:rsid w:val="00A232E4"/>
    <w:rsid w:val="00A237C8"/>
    <w:rsid w:val="00A24099"/>
    <w:rsid w:val="00A25FB2"/>
    <w:rsid w:val="00A26D98"/>
    <w:rsid w:val="00A2705C"/>
    <w:rsid w:val="00A275C7"/>
    <w:rsid w:val="00A27832"/>
    <w:rsid w:val="00A30BBD"/>
    <w:rsid w:val="00A3753F"/>
    <w:rsid w:val="00A37BC6"/>
    <w:rsid w:val="00A42091"/>
    <w:rsid w:val="00A42C6F"/>
    <w:rsid w:val="00A434FE"/>
    <w:rsid w:val="00A43A7A"/>
    <w:rsid w:val="00A44D90"/>
    <w:rsid w:val="00A44EB8"/>
    <w:rsid w:val="00A4590A"/>
    <w:rsid w:val="00A512A2"/>
    <w:rsid w:val="00A550E3"/>
    <w:rsid w:val="00A644E3"/>
    <w:rsid w:val="00A64D22"/>
    <w:rsid w:val="00A6578F"/>
    <w:rsid w:val="00A65854"/>
    <w:rsid w:val="00A679E7"/>
    <w:rsid w:val="00A67A72"/>
    <w:rsid w:val="00A721FB"/>
    <w:rsid w:val="00A72ADC"/>
    <w:rsid w:val="00A73104"/>
    <w:rsid w:val="00A735AC"/>
    <w:rsid w:val="00A735D7"/>
    <w:rsid w:val="00A73671"/>
    <w:rsid w:val="00A75840"/>
    <w:rsid w:val="00A75DAB"/>
    <w:rsid w:val="00A805E3"/>
    <w:rsid w:val="00A820D5"/>
    <w:rsid w:val="00A84DFC"/>
    <w:rsid w:val="00A85739"/>
    <w:rsid w:val="00A91EFC"/>
    <w:rsid w:val="00A92E00"/>
    <w:rsid w:val="00A93D5B"/>
    <w:rsid w:val="00A94D17"/>
    <w:rsid w:val="00A97694"/>
    <w:rsid w:val="00AA05BC"/>
    <w:rsid w:val="00AA0FCE"/>
    <w:rsid w:val="00AA2A0D"/>
    <w:rsid w:val="00AA30AB"/>
    <w:rsid w:val="00AA52DF"/>
    <w:rsid w:val="00AA571E"/>
    <w:rsid w:val="00AA6EF6"/>
    <w:rsid w:val="00AA76DD"/>
    <w:rsid w:val="00AB07A0"/>
    <w:rsid w:val="00AB4BBD"/>
    <w:rsid w:val="00AC13E5"/>
    <w:rsid w:val="00AC35E1"/>
    <w:rsid w:val="00AC57FD"/>
    <w:rsid w:val="00AC59ED"/>
    <w:rsid w:val="00AC763A"/>
    <w:rsid w:val="00AD113F"/>
    <w:rsid w:val="00AD307F"/>
    <w:rsid w:val="00AD343C"/>
    <w:rsid w:val="00AE2D1C"/>
    <w:rsid w:val="00AE33E4"/>
    <w:rsid w:val="00AE4F53"/>
    <w:rsid w:val="00AE6CB9"/>
    <w:rsid w:val="00AF0EBB"/>
    <w:rsid w:val="00AF3CC6"/>
    <w:rsid w:val="00AF432D"/>
    <w:rsid w:val="00AF571A"/>
    <w:rsid w:val="00B002FC"/>
    <w:rsid w:val="00B00B9C"/>
    <w:rsid w:val="00B01673"/>
    <w:rsid w:val="00B02B3A"/>
    <w:rsid w:val="00B03B48"/>
    <w:rsid w:val="00B06E71"/>
    <w:rsid w:val="00B10D8A"/>
    <w:rsid w:val="00B13481"/>
    <w:rsid w:val="00B13E8B"/>
    <w:rsid w:val="00B14BC4"/>
    <w:rsid w:val="00B200D1"/>
    <w:rsid w:val="00B20D78"/>
    <w:rsid w:val="00B2485E"/>
    <w:rsid w:val="00B2506A"/>
    <w:rsid w:val="00B3230E"/>
    <w:rsid w:val="00B32816"/>
    <w:rsid w:val="00B360F6"/>
    <w:rsid w:val="00B36120"/>
    <w:rsid w:val="00B47893"/>
    <w:rsid w:val="00B51613"/>
    <w:rsid w:val="00B52C5B"/>
    <w:rsid w:val="00B5316E"/>
    <w:rsid w:val="00B532FA"/>
    <w:rsid w:val="00B563E3"/>
    <w:rsid w:val="00B5681F"/>
    <w:rsid w:val="00B57955"/>
    <w:rsid w:val="00B57B8B"/>
    <w:rsid w:val="00B63EAA"/>
    <w:rsid w:val="00B658C4"/>
    <w:rsid w:val="00B66CE3"/>
    <w:rsid w:val="00B711E5"/>
    <w:rsid w:val="00B71965"/>
    <w:rsid w:val="00B72C0D"/>
    <w:rsid w:val="00B73266"/>
    <w:rsid w:val="00B74A59"/>
    <w:rsid w:val="00B74FD8"/>
    <w:rsid w:val="00B76A0C"/>
    <w:rsid w:val="00B77034"/>
    <w:rsid w:val="00B77D64"/>
    <w:rsid w:val="00B83FC5"/>
    <w:rsid w:val="00B902CE"/>
    <w:rsid w:val="00B904EB"/>
    <w:rsid w:val="00B915E6"/>
    <w:rsid w:val="00B93476"/>
    <w:rsid w:val="00B93CEF"/>
    <w:rsid w:val="00B9420A"/>
    <w:rsid w:val="00B9799E"/>
    <w:rsid w:val="00BA1535"/>
    <w:rsid w:val="00BA45C7"/>
    <w:rsid w:val="00BA6A0A"/>
    <w:rsid w:val="00BB0F73"/>
    <w:rsid w:val="00BB2B56"/>
    <w:rsid w:val="00BB6A72"/>
    <w:rsid w:val="00BB755B"/>
    <w:rsid w:val="00BB7691"/>
    <w:rsid w:val="00BB79EA"/>
    <w:rsid w:val="00BC0339"/>
    <w:rsid w:val="00BC0440"/>
    <w:rsid w:val="00BC197F"/>
    <w:rsid w:val="00BC369C"/>
    <w:rsid w:val="00BC6089"/>
    <w:rsid w:val="00BD2BCE"/>
    <w:rsid w:val="00BD2C30"/>
    <w:rsid w:val="00BE0F2C"/>
    <w:rsid w:val="00BE208D"/>
    <w:rsid w:val="00BE2E18"/>
    <w:rsid w:val="00BE31E4"/>
    <w:rsid w:val="00BE3346"/>
    <w:rsid w:val="00BE3397"/>
    <w:rsid w:val="00BE4A49"/>
    <w:rsid w:val="00BE6F00"/>
    <w:rsid w:val="00BF0652"/>
    <w:rsid w:val="00BF109B"/>
    <w:rsid w:val="00BF1C78"/>
    <w:rsid w:val="00BF2094"/>
    <w:rsid w:val="00BF3B09"/>
    <w:rsid w:val="00BF3BB3"/>
    <w:rsid w:val="00BF487E"/>
    <w:rsid w:val="00BF545F"/>
    <w:rsid w:val="00BF6236"/>
    <w:rsid w:val="00BF6E0A"/>
    <w:rsid w:val="00BF7BAA"/>
    <w:rsid w:val="00C07672"/>
    <w:rsid w:val="00C103F9"/>
    <w:rsid w:val="00C11CCE"/>
    <w:rsid w:val="00C12B22"/>
    <w:rsid w:val="00C17DC3"/>
    <w:rsid w:val="00C20A91"/>
    <w:rsid w:val="00C23325"/>
    <w:rsid w:val="00C23420"/>
    <w:rsid w:val="00C23D59"/>
    <w:rsid w:val="00C248BD"/>
    <w:rsid w:val="00C3025C"/>
    <w:rsid w:val="00C30741"/>
    <w:rsid w:val="00C318E8"/>
    <w:rsid w:val="00C36234"/>
    <w:rsid w:val="00C417D8"/>
    <w:rsid w:val="00C41B1E"/>
    <w:rsid w:val="00C4295B"/>
    <w:rsid w:val="00C43C7B"/>
    <w:rsid w:val="00C44111"/>
    <w:rsid w:val="00C465CD"/>
    <w:rsid w:val="00C46C1F"/>
    <w:rsid w:val="00C50693"/>
    <w:rsid w:val="00C50E34"/>
    <w:rsid w:val="00C53CD6"/>
    <w:rsid w:val="00C54077"/>
    <w:rsid w:val="00C540A4"/>
    <w:rsid w:val="00C565BD"/>
    <w:rsid w:val="00C5718A"/>
    <w:rsid w:val="00C57B50"/>
    <w:rsid w:val="00C60DBF"/>
    <w:rsid w:val="00C61C68"/>
    <w:rsid w:val="00C64873"/>
    <w:rsid w:val="00C67084"/>
    <w:rsid w:val="00C7211C"/>
    <w:rsid w:val="00C72513"/>
    <w:rsid w:val="00C72E2C"/>
    <w:rsid w:val="00C807BE"/>
    <w:rsid w:val="00C8329C"/>
    <w:rsid w:val="00C840F0"/>
    <w:rsid w:val="00C851C1"/>
    <w:rsid w:val="00C85C99"/>
    <w:rsid w:val="00C867A2"/>
    <w:rsid w:val="00C939F0"/>
    <w:rsid w:val="00C952D1"/>
    <w:rsid w:val="00CA05FA"/>
    <w:rsid w:val="00CA2BA7"/>
    <w:rsid w:val="00CB20C6"/>
    <w:rsid w:val="00CB44CE"/>
    <w:rsid w:val="00CB6017"/>
    <w:rsid w:val="00CB6559"/>
    <w:rsid w:val="00CB66D0"/>
    <w:rsid w:val="00CB737C"/>
    <w:rsid w:val="00CB7D29"/>
    <w:rsid w:val="00CC31B9"/>
    <w:rsid w:val="00CC5DA2"/>
    <w:rsid w:val="00CD0470"/>
    <w:rsid w:val="00CD1760"/>
    <w:rsid w:val="00CD2843"/>
    <w:rsid w:val="00CD331A"/>
    <w:rsid w:val="00CD4DFD"/>
    <w:rsid w:val="00CD557B"/>
    <w:rsid w:val="00CD6DCD"/>
    <w:rsid w:val="00CD7A9F"/>
    <w:rsid w:val="00CE14D8"/>
    <w:rsid w:val="00CE1D30"/>
    <w:rsid w:val="00CE1D3C"/>
    <w:rsid w:val="00CE2575"/>
    <w:rsid w:val="00CE3DBC"/>
    <w:rsid w:val="00CF04E8"/>
    <w:rsid w:val="00CF257E"/>
    <w:rsid w:val="00CF2885"/>
    <w:rsid w:val="00CF58E7"/>
    <w:rsid w:val="00CF7666"/>
    <w:rsid w:val="00D0254C"/>
    <w:rsid w:val="00D03A73"/>
    <w:rsid w:val="00D03C9A"/>
    <w:rsid w:val="00D04F04"/>
    <w:rsid w:val="00D04F3F"/>
    <w:rsid w:val="00D0546C"/>
    <w:rsid w:val="00D07175"/>
    <w:rsid w:val="00D10E18"/>
    <w:rsid w:val="00D13289"/>
    <w:rsid w:val="00D1489F"/>
    <w:rsid w:val="00D16F15"/>
    <w:rsid w:val="00D202F8"/>
    <w:rsid w:val="00D20DC7"/>
    <w:rsid w:val="00D21020"/>
    <w:rsid w:val="00D216C1"/>
    <w:rsid w:val="00D222BB"/>
    <w:rsid w:val="00D22B0C"/>
    <w:rsid w:val="00D2454A"/>
    <w:rsid w:val="00D264F6"/>
    <w:rsid w:val="00D2707D"/>
    <w:rsid w:val="00D32DA0"/>
    <w:rsid w:val="00D40189"/>
    <w:rsid w:val="00D40729"/>
    <w:rsid w:val="00D40A1D"/>
    <w:rsid w:val="00D42D59"/>
    <w:rsid w:val="00D43EE2"/>
    <w:rsid w:val="00D478A6"/>
    <w:rsid w:val="00D534C4"/>
    <w:rsid w:val="00D60BE8"/>
    <w:rsid w:val="00D63A93"/>
    <w:rsid w:val="00D66049"/>
    <w:rsid w:val="00D67612"/>
    <w:rsid w:val="00D757FE"/>
    <w:rsid w:val="00D75BC5"/>
    <w:rsid w:val="00D800EC"/>
    <w:rsid w:val="00D810AA"/>
    <w:rsid w:val="00D857D0"/>
    <w:rsid w:val="00D90218"/>
    <w:rsid w:val="00D918EF"/>
    <w:rsid w:val="00D91DAD"/>
    <w:rsid w:val="00D939B1"/>
    <w:rsid w:val="00D939DD"/>
    <w:rsid w:val="00D944FA"/>
    <w:rsid w:val="00D95097"/>
    <w:rsid w:val="00D95B39"/>
    <w:rsid w:val="00D95FE2"/>
    <w:rsid w:val="00DA0B21"/>
    <w:rsid w:val="00DA1846"/>
    <w:rsid w:val="00DA5B3E"/>
    <w:rsid w:val="00DA77F9"/>
    <w:rsid w:val="00DB1A1E"/>
    <w:rsid w:val="00DB1CA7"/>
    <w:rsid w:val="00DB335A"/>
    <w:rsid w:val="00DB550A"/>
    <w:rsid w:val="00DB7AEB"/>
    <w:rsid w:val="00DC21CD"/>
    <w:rsid w:val="00DC43DE"/>
    <w:rsid w:val="00DC5756"/>
    <w:rsid w:val="00DD35AE"/>
    <w:rsid w:val="00DD5248"/>
    <w:rsid w:val="00DD7262"/>
    <w:rsid w:val="00DE2574"/>
    <w:rsid w:val="00DE43B7"/>
    <w:rsid w:val="00DE5697"/>
    <w:rsid w:val="00DE69B0"/>
    <w:rsid w:val="00DE74E1"/>
    <w:rsid w:val="00DF0933"/>
    <w:rsid w:val="00DF1EB5"/>
    <w:rsid w:val="00DF29A6"/>
    <w:rsid w:val="00DF6307"/>
    <w:rsid w:val="00DF68F3"/>
    <w:rsid w:val="00DF6F08"/>
    <w:rsid w:val="00E00070"/>
    <w:rsid w:val="00E0024C"/>
    <w:rsid w:val="00E01CE1"/>
    <w:rsid w:val="00E0253C"/>
    <w:rsid w:val="00E03B97"/>
    <w:rsid w:val="00E03F31"/>
    <w:rsid w:val="00E040EE"/>
    <w:rsid w:val="00E104D0"/>
    <w:rsid w:val="00E117EF"/>
    <w:rsid w:val="00E14C40"/>
    <w:rsid w:val="00E152F8"/>
    <w:rsid w:val="00E15A61"/>
    <w:rsid w:val="00E20697"/>
    <w:rsid w:val="00E2069E"/>
    <w:rsid w:val="00E2402C"/>
    <w:rsid w:val="00E271A3"/>
    <w:rsid w:val="00E306B0"/>
    <w:rsid w:val="00E34C36"/>
    <w:rsid w:val="00E35986"/>
    <w:rsid w:val="00E45651"/>
    <w:rsid w:val="00E46FAA"/>
    <w:rsid w:val="00E47360"/>
    <w:rsid w:val="00E47566"/>
    <w:rsid w:val="00E520D1"/>
    <w:rsid w:val="00E54E73"/>
    <w:rsid w:val="00E56282"/>
    <w:rsid w:val="00E57C4A"/>
    <w:rsid w:val="00E64AD0"/>
    <w:rsid w:val="00E661B0"/>
    <w:rsid w:val="00E70404"/>
    <w:rsid w:val="00E70452"/>
    <w:rsid w:val="00E713A3"/>
    <w:rsid w:val="00E72EB5"/>
    <w:rsid w:val="00E7301D"/>
    <w:rsid w:val="00E73CF5"/>
    <w:rsid w:val="00E80CEA"/>
    <w:rsid w:val="00E81BC5"/>
    <w:rsid w:val="00E8274C"/>
    <w:rsid w:val="00E83502"/>
    <w:rsid w:val="00E8356F"/>
    <w:rsid w:val="00E8378E"/>
    <w:rsid w:val="00E86791"/>
    <w:rsid w:val="00E875B3"/>
    <w:rsid w:val="00E87659"/>
    <w:rsid w:val="00E900F5"/>
    <w:rsid w:val="00E90D7C"/>
    <w:rsid w:val="00E91002"/>
    <w:rsid w:val="00E92115"/>
    <w:rsid w:val="00E92E22"/>
    <w:rsid w:val="00EA0689"/>
    <w:rsid w:val="00EA0852"/>
    <w:rsid w:val="00EA222A"/>
    <w:rsid w:val="00EA2EF2"/>
    <w:rsid w:val="00EA5025"/>
    <w:rsid w:val="00EA5BB8"/>
    <w:rsid w:val="00EA7B2E"/>
    <w:rsid w:val="00EB17FA"/>
    <w:rsid w:val="00EB38C9"/>
    <w:rsid w:val="00EB455F"/>
    <w:rsid w:val="00EC5B5F"/>
    <w:rsid w:val="00EC70A2"/>
    <w:rsid w:val="00ED1440"/>
    <w:rsid w:val="00ED1472"/>
    <w:rsid w:val="00ED21B8"/>
    <w:rsid w:val="00ED2594"/>
    <w:rsid w:val="00ED25F0"/>
    <w:rsid w:val="00ED408F"/>
    <w:rsid w:val="00ED6BD2"/>
    <w:rsid w:val="00EE06AA"/>
    <w:rsid w:val="00EE17A0"/>
    <w:rsid w:val="00EE1BBB"/>
    <w:rsid w:val="00EE35BE"/>
    <w:rsid w:val="00EE7E27"/>
    <w:rsid w:val="00EF0009"/>
    <w:rsid w:val="00EF00C0"/>
    <w:rsid w:val="00EF0665"/>
    <w:rsid w:val="00EF4459"/>
    <w:rsid w:val="00EF4F68"/>
    <w:rsid w:val="00EF6201"/>
    <w:rsid w:val="00EF658D"/>
    <w:rsid w:val="00F0046A"/>
    <w:rsid w:val="00F024B0"/>
    <w:rsid w:val="00F029BD"/>
    <w:rsid w:val="00F05389"/>
    <w:rsid w:val="00F07479"/>
    <w:rsid w:val="00F1118F"/>
    <w:rsid w:val="00F11ECB"/>
    <w:rsid w:val="00F16688"/>
    <w:rsid w:val="00F21116"/>
    <w:rsid w:val="00F222D9"/>
    <w:rsid w:val="00F27D92"/>
    <w:rsid w:val="00F3262E"/>
    <w:rsid w:val="00F35C13"/>
    <w:rsid w:val="00F40221"/>
    <w:rsid w:val="00F418BB"/>
    <w:rsid w:val="00F44C35"/>
    <w:rsid w:val="00F478FE"/>
    <w:rsid w:val="00F5113B"/>
    <w:rsid w:val="00F533A6"/>
    <w:rsid w:val="00F53E9A"/>
    <w:rsid w:val="00F5468C"/>
    <w:rsid w:val="00F57BA8"/>
    <w:rsid w:val="00F57DD2"/>
    <w:rsid w:val="00F60EA3"/>
    <w:rsid w:val="00F653B3"/>
    <w:rsid w:val="00F70D05"/>
    <w:rsid w:val="00F721CC"/>
    <w:rsid w:val="00F81588"/>
    <w:rsid w:val="00F81A1C"/>
    <w:rsid w:val="00F831F6"/>
    <w:rsid w:val="00F835FD"/>
    <w:rsid w:val="00F87927"/>
    <w:rsid w:val="00F9043E"/>
    <w:rsid w:val="00F90B2E"/>
    <w:rsid w:val="00F928BE"/>
    <w:rsid w:val="00F933ED"/>
    <w:rsid w:val="00F93733"/>
    <w:rsid w:val="00F95C1B"/>
    <w:rsid w:val="00F96C83"/>
    <w:rsid w:val="00F96D83"/>
    <w:rsid w:val="00F97C85"/>
    <w:rsid w:val="00FA0446"/>
    <w:rsid w:val="00FA7030"/>
    <w:rsid w:val="00FB03E1"/>
    <w:rsid w:val="00FB3162"/>
    <w:rsid w:val="00FB3FCA"/>
    <w:rsid w:val="00FB64EE"/>
    <w:rsid w:val="00FB71AE"/>
    <w:rsid w:val="00FC22BF"/>
    <w:rsid w:val="00FC2FD7"/>
    <w:rsid w:val="00FC3356"/>
    <w:rsid w:val="00FD4C61"/>
    <w:rsid w:val="00FD50B9"/>
    <w:rsid w:val="00FD5C71"/>
    <w:rsid w:val="00FE4BCB"/>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A5797D"/>
  <w15:chartTrackingRefBased/>
  <w15:docId w15:val="{59F574C2-21DF-497D-B256-272292F78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Verdana"/>
        <w:lang w:val="de-AT" w:eastAsia="de-AT"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uiPriority="39"/>
    <w:lsdException w:name="toc 3" w:semiHidden="1" w:uiPriority="39"/>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uiPriority="99" w:qFormat="1"/>
    <w:lsdException w:name="annotation text" w:semiHidden="1" w:uiPriority="99"/>
    <w:lsdException w:name="header" w:semiHidden="1" w:uiPriority="99"/>
    <w:lsdException w:name="footer" w:semiHidden="1" w:uiPriority="99"/>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qFormat="1"/>
    <w:lsdException w:name="annotation reference" w:semiHidden="1" w:uiPriority="99"/>
    <w:lsdException w:name="line number" w:semiHidden="1"/>
    <w:lsdException w:name="page number" w:semiHidden="1"/>
    <w:lsdException w:name="endnote reference" w:semiHidden="1" w:uiPriority="99"/>
    <w:lsdException w:name="endnote text" w:semiHidden="1" w:uiPriority="99"/>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uiPriority="99"/>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uiPriority="99"/>
    <w:lsdException w:name="List Paragraph" w:semiHidden="1" w:uiPriority="34" w:qFormat="1"/>
    <w:lsdException w:name="Quote" w:semiHidden="1" w:uiPriority="29" w:qFormat="1"/>
    <w:lsdException w:name="Intense Quote" w:semiHidden="1"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lsdException w:name="TOC Heading" w:semiHidden="1" w:uiPriority="39" w:unhideWhenUsed="1" w:qFormat="1"/>
  </w:latentStyles>
  <w:style w:type="paragraph" w:default="1" w:styleId="Normal">
    <w:name w:val="Normal"/>
    <w:qFormat/>
    <w:rsid w:val="00434F33"/>
    <w:pPr>
      <w:spacing w:line="240" w:lineRule="auto"/>
    </w:pPr>
    <w:rPr>
      <w:rFonts w:ascii="Times New Roman" w:eastAsia="Times New Roman" w:hAnsi="Times New Roman" w:cs="Times New Roman"/>
      <w:sz w:val="24"/>
      <w:szCs w:val="24"/>
      <w:lang w:val="bg-BG" w:eastAsia="bg-BG"/>
    </w:rPr>
  </w:style>
  <w:style w:type="paragraph" w:styleId="Heading1">
    <w:name w:val="heading 1"/>
    <w:basedOn w:val="Normal"/>
    <w:next w:val="Normal"/>
    <w:link w:val="Heading1Char"/>
    <w:uiPriority w:val="9"/>
    <w:qFormat/>
    <w:rsid w:val="003F1496"/>
    <w:pPr>
      <w:keepLines/>
      <w:pBdr>
        <w:top w:val="single" w:sz="24" w:space="0" w:color="5B9BD5"/>
        <w:left w:val="single" w:sz="24" w:space="0" w:color="5B9BD5"/>
        <w:bottom w:val="single" w:sz="24" w:space="0" w:color="5B9BD5"/>
        <w:right w:val="single" w:sz="24" w:space="0" w:color="5B9BD5"/>
      </w:pBdr>
      <w:shd w:val="clear" w:color="auto" w:fill="5B9BD5"/>
      <w:spacing w:before="120" w:line="276" w:lineRule="auto"/>
      <w:jc w:val="both"/>
      <w:outlineLvl w:val="0"/>
    </w:pPr>
    <w:rPr>
      <w:rFonts w:ascii="Verdana" w:hAnsi="Verdana"/>
      <w:caps/>
      <w:color w:val="FFFFFF"/>
      <w:spacing w:val="15"/>
      <w:sz w:val="22"/>
      <w:szCs w:val="22"/>
    </w:rPr>
  </w:style>
  <w:style w:type="paragraph" w:styleId="Heading2">
    <w:name w:val="heading 2"/>
    <w:basedOn w:val="Normal"/>
    <w:next w:val="Normal"/>
    <w:link w:val="Heading2Char"/>
    <w:uiPriority w:val="9"/>
    <w:unhideWhenUsed/>
    <w:qFormat/>
    <w:rsid w:val="003F1496"/>
    <w:pPr>
      <w:keepLines/>
      <w:shd w:val="clear" w:color="auto" w:fill="C5E0B3"/>
      <w:spacing w:before="120" w:line="276" w:lineRule="auto"/>
      <w:jc w:val="both"/>
      <w:outlineLvl w:val="1"/>
    </w:pPr>
    <w:rPr>
      <w:rFonts w:ascii="Verdana" w:hAnsi="Verdana"/>
      <w:b/>
      <w:smallCaps/>
      <w:spacing w:val="15"/>
      <w:sz w:val="20"/>
      <w:szCs w:val="20"/>
    </w:rPr>
  </w:style>
  <w:style w:type="paragraph" w:styleId="Heading3">
    <w:name w:val="heading 3"/>
    <w:basedOn w:val="Normal"/>
    <w:next w:val="Normal"/>
    <w:link w:val="Heading3Char"/>
    <w:uiPriority w:val="9"/>
    <w:unhideWhenUsed/>
    <w:qFormat/>
    <w:rsid w:val="003F1496"/>
    <w:pPr>
      <w:keepLines/>
      <w:pBdr>
        <w:top w:val="single" w:sz="6" w:space="2" w:color="538135"/>
      </w:pBdr>
      <w:spacing w:before="300" w:line="276" w:lineRule="auto"/>
      <w:jc w:val="both"/>
      <w:outlineLvl w:val="2"/>
    </w:pPr>
    <w:rPr>
      <w:rFonts w:ascii="Verdana" w:hAnsi="Verdana"/>
      <w:caps/>
      <w:color w:val="538135"/>
      <w:spacing w:val="15"/>
      <w:sz w:val="20"/>
      <w:szCs w:val="20"/>
    </w:rPr>
  </w:style>
  <w:style w:type="paragraph" w:styleId="Heading4">
    <w:name w:val="heading 4"/>
    <w:basedOn w:val="Normal"/>
    <w:next w:val="Normal"/>
    <w:link w:val="Heading4Char"/>
    <w:uiPriority w:val="9"/>
    <w:semiHidden/>
    <w:unhideWhenUsed/>
    <w:qFormat/>
    <w:rsid w:val="003F1496"/>
    <w:pPr>
      <w:keepLines/>
      <w:pBdr>
        <w:top w:val="dotted" w:sz="6" w:space="2" w:color="5B9BD5"/>
      </w:pBdr>
      <w:spacing w:before="200" w:line="276" w:lineRule="auto"/>
      <w:jc w:val="both"/>
      <w:outlineLvl w:val="3"/>
    </w:pPr>
    <w:rPr>
      <w:rFonts w:ascii="Verdana" w:hAnsi="Verdana"/>
      <w:caps/>
      <w:color w:val="2E74B5"/>
      <w:spacing w:val="10"/>
      <w:sz w:val="20"/>
      <w:szCs w:val="20"/>
    </w:rPr>
  </w:style>
  <w:style w:type="paragraph" w:styleId="Heading5">
    <w:name w:val="heading 5"/>
    <w:basedOn w:val="Normal"/>
    <w:next w:val="Normal"/>
    <w:link w:val="Heading5Char"/>
    <w:uiPriority w:val="9"/>
    <w:semiHidden/>
    <w:unhideWhenUsed/>
    <w:qFormat/>
    <w:rsid w:val="003F1496"/>
    <w:pPr>
      <w:pBdr>
        <w:bottom w:val="single" w:sz="6" w:space="1" w:color="5B9BD5"/>
      </w:pBdr>
      <w:spacing w:before="200"/>
      <w:outlineLvl w:val="4"/>
    </w:pPr>
    <w:rPr>
      <w:caps/>
      <w:color w:val="2E74B5"/>
      <w:spacing w:val="10"/>
    </w:rPr>
  </w:style>
  <w:style w:type="paragraph" w:styleId="Heading6">
    <w:name w:val="heading 6"/>
    <w:basedOn w:val="Normal"/>
    <w:next w:val="Normal"/>
    <w:link w:val="Heading6Char"/>
    <w:uiPriority w:val="9"/>
    <w:semiHidden/>
    <w:unhideWhenUsed/>
    <w:qFormat/>
    <w:rsid w:val="003F1496"/>
    <w:pPr>
      <w:pBdr>
        <w:bottom w:val="dotted" w:sz="6" w:space="1" w:color="5B9BD5"/>
      </w:pBdr>
      <w:spacing w:before="200"/>
      <w:outlineLvl w:val="5"/>
    </w:pPr>
    <w:rPr>
      <w:caps/>
      <w:color w:val="2E74B5"/>
      <w:spacing w:val="10"/>
    </w:rPr>
  </w:style>
  <w:style w:type="paragraph" w:styleId="Heading7">
    <w:name w:val="heading 7"/>
    <w:basedOn w:val="Normal"/>
    <w:next w:val="Normal"/>
    <w:link w:val="Heading7Char"/>
    <w:uiPriority w:val="9"/>
    <w:semiHidden/>
    <w:unhideWhenUsed/>
    <w:qFormat/>
    <w:rsid w:val="003F1496"/>
    <w:pPr>
      <w:spacing w:before="200"/>
      <w:outlineLvl w:val="6"/>
    </w:pPr>
    <w:rPr>
      <w:caps/>
      <w:color w:val="2E74B5"/>
      <w:spacing w:val="10"/>
    </w:rPr>
  </w:style>
  <w:style w:type="paragraph" w:styleId="Heading8">
    <w:name w:val="heading 8"/>
    <w:basedOn w:val="Normal"/>
    <w:next w:val="Normal"/>
    <w:link w:val="Heading8Char"/>
    <w:uiPriority w:val="9"/>
    <w:semiHidden/>
    <w:unhideWhenUsed/>
    <w:qFormat/>
    <w:rsid w:val="003F1496"/>
    <w:pPr>
      <w:spacing w:before="200"/>
      <w:outlineLvl w:val="7"/>
    </w:pPr>
    <w:rPr>
      <w:caps/>
      <w:spacing w:val="10"/>
      <w:sz w:val="18"/>
      <w:szCs w:val="18"/>
    </w:rPr>
  </w:style>
  <w:style w:type="paragraph" w:styleId="Heading9">
    <w:name w:val="heading 9"/>
    <w:basedOn w:val="Normal"/>
    <w:next w:val="Normal"/>
    <w:link w:val="Heading9Char"/>
    <w:uiPriority w:val="9"/>
    <w:semiHidden/>
    <w:unhideWhenUsed/>
    <w:qFormat/>
    <w:rsid w:val="003F1496"/>
    <w:pPr>
      <w:spacing w:before="20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zero">
    <w:name w:val="S_zero"/>
    <w:hidden/>
    <w:uiPriority w:val="1"/>
  </w:style>
  <w:style w:type="paragraph" w:customStyle="1" w:styleId="SheadingI">
    <w:name w:val="S_heading I."/>
    <w:basedOn w:val="Stext"/>
    <w:next w:val="Sheading1"/>
    <w:qFormat/>
    <w:pPr>
      <w:keepNext/>
      <w:keepLines/>
      <w:numPr>
        <w:numId w:val="1"/>
      </w:numPr>
      <w:outlineLvl w:val="0"/>
    </w:pPr>
    <w:rPr>
      <w:b/>
    </w:rPr>
  </w:style>
  <w:style w:type="paragraph" w:customStyle="1" w:styleId="Sheading1">
    <w:name w:val="S_heading 1"/>
    <w:basedOn w:val="Stext1"/>
    <w:next w:val="Stext1"/>
    <w:uiPriority w:val="1"/>
    <w:qFormat/>
    <w:pPr>
      <w:keepNext/>
      <w:keepLines/>
      <w:numPr>
        <w:ilvl w:val="1"/>
        <w:numId w:val="1"/>
      </w:numPr>
      <w:outlineLvl w:val="0"/>
    </w:pPr>
    <w:rPr>
      <w:b/>
    </w:rPr>
  </w:style>
  <w:style w:type="paragraph" w:customStyle="1" w:styleId="Sheading2">
    <w:name w:val="S_heading 2"/>
    <w:basedOn w:val="Stext2"/>
    <w:next w:val="Stext2"/>
    <w:uiPriority w:val="1"/>
    <w:qFormat/>
    <w:pPr>
      <w:keepNext/>
      <w:keepLines/>
      <w:numPr>
        <w:ilvl w:val="2"/>
        <w:numId w:val="1"/>
      </w:numPr>
      <w:outlineLvl w:val="1"/>
    </w:pPr>
  </w:style>
  <w:style w:type="paragraph" w:customStyle="1" w:styleId="Sheading3">
    <w:name w:val="S_heading 3"/>
    <w:basedOn w:val="Stext3"/>
    <w:next w:val="Stext3"/>
    <w:uiPriority w:val="1"/>
    <w:qFormat/>
    <w:pPr>
      <w:keepNext/>
      <w:keepLines/>
      <w:numPr>
        <w:ilvl w:val="3"/>
        <w:numId w:val="1"/>
      </w:numPr>
      <w:outlineLvl w:val="2"/>
    </w:pPr>
  </w:style>
  <w:style w:type="paragraph" w:customStyle="1" w:styleId="Sheading4">
    <w:name w:val="S_heading 4"/>
    <w:basedOn w:val="Stext4"/>
    <w:next w:val="Stext4"/>
    <w:uiPriority w:val="1"/>
    <w:qFormat/>
    <w:pPr>
      <w:keepNext/>
      <w:keepLines/>
      <w:numPr>
        <w:ilvl w:val="4"/>
        <w:numId w:val="1"/>
      </w:numPr>
      <w:outlineLvl w:val="3"/>
    </w:pPr>
  </w:style>
  <w:style w:type="paragraph" w:customStyle="1" w:styleId="Sheading5">
    <w:name w:val="S_heading 5"/>
    <w:basedOn w:val="Stext5"/>
    <w:next w:val="Stext5"/>
    <w:uiPriority w:val="1"/>
    <w:qFormat/>
    <w:pPr>
      <w:keepNext/>
      <w:keepLines/>
      <w:numPr>
        <w:ilvl w:val="5"/>
        <w:numId w:val="1"/>
      </w:numPr>
      <w:outlineLvl w:val="4"/>
    </w:pPr>
  </w:style>
  <w:style w:type="paragraph" w:customStyle="1" w:styleId="SheadingIarb">
    <w:name w:val="S_heading I._arb"/>
    <w:basedOn w:val="Stext"/>
    <w:next w:val="Sheading1arb"/>
    <w:uiPriority w:val="8"/>
    <w:semiHidden/>
    <w:unhideWhenUsed/>
    <w:qFormat/>
    <w:pPr>
      <w:keepNext/>
      <w:keepLines/>
      <w:numPr>
        <w:numId w:val="6"/>
      </w:numPr>
      <w:outlineLvl w:val="0"/>
    </w:pPr>
    <w:rPr>
      <w:b/>
    </w:rPr>
  </w:style>
  <w:style w:type="paragraph" w:customStyle="1" w:styleId="Sheading1arb">
    <w:name w:val="S_heading 1_arb"/>
    <w:basedOn w:val="Stext1"/>
    <w:next w:val="Stext1arb"/>
    <w:uiPriority w:val="9"/>
    <w:semiHidden/>
    <w:unhideWhenUsed/>
    <w:qFormat/>
    <w:pPr>
      <w:keepNext/>
      <w:keepLines/>
      <w:numPr>
        <w:ilvl w:val="1"/>
        <w:numId w:val="6"/>
      </w:numPr>
      <w:outlineLvl w:val="0"/>
    </w:pPr>
    <w:rPr>
      <w:b/>
    </w:rPr>
  </w:style>
  <w:style w:type="paragraph" w:customStyle="1" w:styleId="Sheading2arb">
    <w:name w:val="S_heading 2_arb"/>
    <w:basedOn w:val="Stext2"/>
    <w:next w:val="Stext2arb"/>
    <w:uiPriority w:val="9"/>
    <w:semiHidden/>
    <w:unhideWhenUsed/>
    <w:qFormat/>
    <w:pPr>
      <w:keepNext/>
      <w:keepLines/>
      <w:numPr>
        <w:ilvl w:val="2"/>
        <w:numId w:val="6"/>
      </w:numPr>
      <w:outlineLvl w:val="1"/>
    </w:pPr>
    <w:rPr>
      <w:b/>
    </w:rPr>
  </w:style>
  <w:style w:type="paragraph" w:customStyle="1" w:styleId="Sheading3arb">
    <w:name w:val="S_heading 3_arb"/>
    <w:basedOn w:val="Stext3"/>
    <w:next w:val="Stext3arb"/>
    <w:uiPriority w:val="9"/>
    <w:semiHidden/>
    <w:unhideWhenUsed/>
    <w:qFormat/>
    <w:pPr>
      <w:keepNext/>
      <w:keepLines/>
      <w:numPr>
        <w:ilvl w:val="3"/>
        <w:numId w:val="6"/>
      </w:numPr>
      <w:outlineLvl w:val="2"/>
    </w:pPr>
    <w:rPr>
      <w:b/>
    </w:rPr>
  </w:style>
  <w:style w:type="paragraph" w:customStyle="1" w:styleId="Sheading4arb">
    <w:name w:val="S_heading 4_arb"/>
    <w:basedOn w:val="Stext4"/>
    <w:next w:val="Stext4arb"/>
    <w:uiPriority w:val="9"/>
    <w:semiHidden/>
    <w:unhideWhenUsed/>
    <w:qFormat/>
    <w:pPr>
      <w:keepNext/>
      <w:keepLines/>
      <w:numPr>
        <w:ilvl w:val="4"/>
        <w:numId w:val="6"/>
      </w:numPr>
      <w:outlineLvl w:val="3"/>
    </w:pPr>
  </w:style>
  <w:style w:type="paragraph" w:customStyle="1" w:styleId="Sheading5arb">
    <w:name w:val="S_heading 5_arb"/>
    <w:basedOn w:val="Stext5arb"/>
    <w:next w:val="Stext5"/>
    <w:uiPriority w:val="9"/>
    <w:semiHidden/>
    <w:unhideWhenUsed/>
    <w:qFormat/>
    <w:pPr>
      <w:keepNext/>
      <w:keepLines/>
      <w:numPr>
        <w:ilvl w:val="5"/>
        <w:numId w:val="6"/>
      </w:numPr>
      <w:tabs>
        <w:tab w:val="clear" w:pos="2269"/>
        <w:tab w:val="num" w:pos="360"/>
      </w:tabs>
      <w:ind w:left="2978" w:firstLine="0"/>
      <w:outlineLvl w:val="4"/>
    </w:pPr>
  </w:style>
  <w:style w:type="paragraph" w:customStyle="1" w:styleId="SheadingIL">
    <w:name w:val="S_heading I. L"/>
    <w:basedOn w:val="Stext"/>
    <w:next w:val="SheadingL1"/>
    <w:uiPriority w:val="2"/>
    <w:semiHidden/>
    <w:unhideWhenUsed/>
    <w:qFormat/>
    <w:pPr>
      <w:keepNext/>
      <w:keepLines/>
      <w:numPr>
        <w:numId w:val="3"/>
      </w:numPr>
      <w:outlineLvl w:val="0"/>
    </w:pPr>
    <w:rPr>
      <w:b/>
    </w:rPr>
  </w:style>
  <w:style w:type="paragraph" w:customStyle="1" w:styleId="SheadingL1">
    <w:name w:val="S_headingL1"/>
    <w:basedOn w:val="Stext1"/>
    <w:next w:val="Stext1"/>
    <w:uiPriority w:val="3"/>
    <w:semiHidden/>
    <w:unhideWhenUsed/>
    <w:qFormat/>
    <w:pPr>
      <w:keepNext/>
      <w:numPr>
        <w:ilvl w:val="1"/>
        <w:numId w:val="3"/>
      </w:numPr>
      <w:outlineLvl w:val="0"/>
    </w:pPr>
    <w:rPr>
      <w:b/>
    </w:rPr>
  </w:style>
  <w:style w:type="paragraph" w:customStyle="1" w:styleId="SheadingL2">
    <w:name w:val="S_headingL2"/>
    <w:basedOn w:val="Stext2"/>
    <w:next w:val="Stext2"/>
    <w:uiPriority w:val="3"/>
    <w:semiHidden/>
    <w:unhideWhenUsed/>
    <w:qFormat/>
    <w:pPr>
      <w:keepNext/>
      <w:numPr>
        <w:ilvl w:val="2"/>
        <w:numId w:val="3"/>
      </w:numPr>
      <w:outlineLvl w:val="1"/>
    </w:pPr>
  </w:style>
  <w:style w:type="paragraph" w:customStyle="1" w:styleId="SheadingL3">
    <w:name w:val="S_headingL3"/>
    <w:basedOn w:val="Stext3"/>
    <w:next w:val="Stext3"/>
    <w:uiPriority w:val="3"/>
    <w:semiHidden/>
    <w:unhideWhenUsed/>
    <w:qFormat/>
    <w:pPr>
      <w:keepNext/>
      <w:numPr>
        <w:ilvl w:val="3"/>
        <w:numId w:val="3"/>
      </w:numPr>
      <w:outlineLvl w:val="2"/>
    </w:pPr>
  </w:style>
  <w:style w:type="paragraph" w:customStyle="1" w:styleId="SheadingL4">
    <w:name w:val="S_headingL4"/>
    <w:basedOn w:val="Stext4"/>
    <w:next w:val="Stext4"/>
    <w:uiPriority w:val="3"/>
    <w:semiHidden/>
    <w:unhideWhenUsed/>
    <w:qFormat/>
    <w:pPr>
      <w:keepNext/>
      <w:numPr>
        <w:ilvl w:val="4"/>
        <w:numId w:val="3"/>
      </w:numPr>
      <w:outlineLvl w:val="3"/>
    </w:pPr>
  </w:style>
  <w:style w:type="paragraph" w:customStyle="1" w:styleId="SheadingL5">
    <w:name w:val="S_headingL5"/>
    <w:basedOn w:val="Stext5"/>
    <w:next w:val="Stext5"/>
    <w:uiPriority w:val="3"/>
    <w:semiHidden/>
    <w:unhideWhenUsed/>
    <w:qFormat/>
    <w:pPr>
      <w:keepNext/>
      <w:numPr>
        <w:ilvl w:val="5"/>
        <w:numId w:val="3"/>
      </w:numPr>
      <w:outlineLvl w:val="4"/>
    </w:pPr>
  </w:style>
  <w:style w:type="paragraph" w:customStyle="1" w:styleId="SheadingIM">
    <w:name w:val="S_heading I. M"/>
    <w:basedOn w:val="Stext"/>
    <w:next w:val="SheadingM1"/>
    <w:uiPriority w:val="4"/>
    <w:semiHidden/>
    <w:unhideWhenUsed/>
    <w:qFormat/>
    <w:pPr>
      <w:keepNext/>
      <w:keepLines/>
      <w:numPr>
        <w:numId w:val="4"/>
      </w:numPr>
      <w:outlineLvl w:val="0"/>
    </w:pPr>
    <w:rPr>
      <w:b/>
    </w:rPr>
  </w:style>
  <w:style w:type="paragraph" w:customStyle="1" w:styleId="SheadingM1">
    <w:name w:val="S_headingM1"/>
    <w:basedOn w:val="Stext1"/>
    <w:next w:val="Stext1"/>
    <w:uiPriority w:val="5"/>
    <w:semiHidden/>
    <w:unhideWhenUsed/>
    <w:qFormat/>
    <w:pPr>
      <w:keepNext/>
      <w:numPr>
        <w:ilvl w:val="1"/>
        <w:numId w:val="4"/>
      </w:numPr>
      <w:outlineLvl w:val="0"/>
    </w:pPr>
    <w:rPr>
      <w:b/>
    </w:rPr>
  </w:style>
  <w:style w:type="paragraph" w:customStyle="1" w:styleId="SheadingM2">
    <w:name w:val="S_headingM2"/>
    <w:basedOn w:val="Stext2"/>
    <w:next w:val="Stext2"/>
    <w:uiPriority w:val="5"/>
    <w:semiHidden/>
    <w:unhideWhenUsed/>
    <w:qFormat/>
    <w:pPr>
      <w:keepNext/>
      <w:numPr>
        <w:ilvl w:val="2"/>
        <w:numId w:val="4"/>
      </w:numPr>
      <w:outlineLvl w:val="1"/>
    </w:pPr>
  </w:style>
  <w:style w:type="paragraph" w:customStyle="1" w:styleId="SheadingM3">
    <w:name w:val="S_headingM3"/>
    <w:basedOn w:val="Stext3"/>
    <w:next w:val="Stext3"/>
    <w:uiPriority w:val="5"/>
    <w:semiHidden/>
    <w:unhideWhenUsed/>
    <w:qFormat/>
    <w:pPr>
      <w:keepNext/>
      <w:numPr>
        <w:ilvl w:val="3"/>
        <w:numId w:val="4"/>
      </w:numPr>
      <w:outlineLvl w:val="2"/>
    </w:pPr>
  </w:style>
  <w:style w:type="paragraph" w:customStyle="1" w:styleId="SheadingM4">
    <w:name w:val="S_headingM4"/>
    <w:basedOn w:val="Stext4"/>
    <w:next w:val="Stext4"/>
    <w:uiPriority w:val="5"/>
    <w:semiHidden/>
    <w:unhideWhenUsed/>
    <w:qFormat/>
    <w:pPr>
      <w:keepNext/>
      <w:numPr>
        <w:ilvl w:val="4"/>
        <w:numId w:val="4"/>
      </w:numPr>
      <w:outlineLvl w:val="3"/>
    </w:pPr>
  </w:style>
  <w:style w:type="paragraph" w:customStyle="1" w:styleId="SheadingM5">
    <w:name w:val="S_headingM5"/>
    <w:basedOn w:val="Stext5"/>
    <w:next w:val="Stext5"/>
    <w:uiPriority w:val="5"/>
    <w:semiHidden/>
    <w:unhideWhenUsed/>
    <w:qFormat/>
    <w:pPr>
      <w:keepNext/>
      <w:numPr>
        <w:ilvl w:val="5"/>
        <w:numId w:val="4"/>
      </w:numPr>
      <w:outlineLvl w:val="4"/>
    </w:pPr>
  </w:style>
  <w:style w:type="paragraph" w:customStyle="1" w:styleId="SheadingIR">
    <w:name w:val="S_heading I. R"/>
    <w:basedOn w:val="Stext"/>
    <w:next w:val="SheadingR1"/>
    <w:uiPriority w:val="6"/>
    <w:semiHidden/>
    <w:unhideWhenUsed/>
    <w:qFormat/>
    <w:pPr>
      <w:keepNext/>
      <w:keepLines/>
      <w:numPr>
        <w:numId w:val="5"/>
      </w:numPr>
      <w:outlineLvl w:val="0"/>
    </w:pPr>
    <w:rPr>
      <w:b/>
    </w:rPr>
  </w:style>
  <w:style w:type="paragraph" w:customStyle="1" w:styleId="SheadingR1">
    <w:name w:val="S_headingR1"/>
    <w:basedOn w:val="Stext1"/>
    <w:next w:val="Stext1"/>
    <w:uiPriority w:val="7"/>
    <w:semiHidden/>
    <w:unhideWhenUsed/>
    <w:qFormat/>
    <w:pPr>
      <w:keepNext/>
      <w:numPr>
        <w:ilvl w:val="1"/>
        <w:numId w:val="5"/>
      </w:numPr>
      <w:outlineLvl w:val="0"/>
    </w:pPr>
    <w:rPr>
      <w:b/>
    </w:rPr>
  </w:style>
  <w:style w:type="paragraph" w:customStyle="1" w:styleId="SheadingR2">
    <w:name w:val="S_headingR2"/>
    <w:basedOn w:val="Stext2"/>
    <w:next w:val="Stext2"/>
    <w:uiPriority w:val="7"/>
    <w:semiHidden/>
    <w:unhideWhenUsed/>
    <w:qFormat/>
    <w:pPr>
      <w:keepNext/>
      <w:numPr>
        <w:ilvl w:val="2"/>
        <w:numId w:val="5"/>
      </w:numPr>
      <w:outlineLvl w:val="1"/>
    </w:pPr>
  </w:style>
  <w:style w:type="paragraph" w:customStyle="1" w:styleId="SheadingR3">
    <w:name w:val="S_headingR3"/>
    <w:basedOn w:val="Stext3"/>
    <w:next w:val="Stext3"/>
    <w:uiPriority w:val="7"/>
    <w:semiHidden/>
    <w:unhideWhenUsed/>
    <w:qFormat/>
    <w:pPr>
      <w:keepNext/>
      <w:numPr>
        <w:ilvl w:val="3"/>
        <w:numId w:val="5"/>
      </w:numPr>
      <w:outlineLvl w:val="2"/>
    </w:pPr>
  </w:style>
  <w:style w:type="paragraph" w:customStyle="1" w:styleId="SheadingR4">
    <w:name w:val="S_headingR4"/>
    <w:basedOn w:val="Stext4"/>
    <w:next w:val="Stext4"/>
    <w:uiPriority w:val="7"/>
    <w:semiHidden/>
    <w:unhideWhenUsed/>
    <w:qFormat/>
    <w:pPr>
      <w:keepNext/>
      <w:numPr>
        <w:ilvl w:val="4"/>
        <w:numId w:val="5"/>
      </w:numPr>
      <w:outlineLvl w:val="3"/>
    </w:pPr>
  </w:style>
  <w:style w:type="paragraph" w:customStyle="1" w:styleId="SheadingR5">
    <w:name w:val="S_headingR5"/>
    <w:basedOn w:val="Stext5"/>
    <w:next w:val="Stext5"/>
    <w:uiPriority w:val="7"/>
    <w:semiHidden/>
    <w:unhideWhenUsed/>
    <w:qFormat/>
    <w:pPr>
      <w:keepNext/>
      <w:numPr>
        <w:ilvl w:val="5"/>
        <w:numId w:val="5"/>
      </w:numPr>
      <w:outlineLvl w:val="4"/>
    </w:pPr>
  </w:style>
  <w:style w:type="paragraph" w:customStyle="1" w:styleId="Stext">
    <w:name w:val="S_text"/>
    <w:link w:val="StextZchn"/>
    <w:uiPriority w:val="11"/>
    <w:qFormat/>
    <w:pPr>
      <w:spacing w:before="240" w:after="60"/>
      <w:jc w:val="both"/>
    </w:pPr>
  </w:style>
  <w:style w:type="paragraph" w:customStyle="1" w:styleId="Stext1">
    <w:name w:val="S_text 1"/>
    <w:basedOn w:val="Stext"/>
    <w:uiPriority w:val="20"/>
    <w:qFormat/>
    <w:pPr>
      <w:ind w:left="680"/>
    </w:pPr>
  </w:style>
  <w:style w:type="paragraph" w:customStyle="1" w:styleId="Stext2">
    <w:name w:val="S_text 2"/>
    <w:basedOn w:val="Stext1"/>
    <w:uiPriority w:val="20"/>
    <w:qFormat/>
  </w:style>
  <w:style w:type="paragraph" w:customStyle="1" w:styleId="Stext3">
    <w:name w:val="S_text 3"/>
    <w:basedOn w:val="Stext2"/>
    <w:uiPriority w:val="20"/>
    <w:qFormat/>
    <w:pPr>
      <w:ind w:left="1531"/>
    </w:pPr>
  </w:style>
  <w:style w:type="paragraph" w:customStyle="1" w:styleId="Stext4">
    <w:name w:val="S_text 4"/>
    <w:basedOn w:val="Stext3"/>
    <w:uiPriority w:val="20"/>
    <w:qFormat/>
    <w:pPr>
      <w:ind w:left="2778"/>
    </w:pPr>
  </w:style>
  <w:style w:type="paragraph" w:customStyle="1" w:styleId="Stext5">
    <w:name w:val="S_text 5"/>
    <w:basedOn w:val="Stext4"/>
    <w:uiPriority w:val="20"/>
    <w:qFormat/>
  </w:style>
  <w:style w:type="paragraph" w:customStyle="1" w:styleId="Stextarb">
    <w:name w:val="S_text_arb"/>
    <w:basedOn w:val="Stext"/>
    <w:uiPriority w:val="19"/>
    <w:semiHidden/>
    <w:unhideWhenUsed/>
    <w:qFormat/>
  </w:style>
  <w:style w:type="paragraph" w:customStyle="1" w:styleId="Stext1arb">
    <w:name w:val="S_text 1_arb"/>
    <w:basedOn w:val="Stextarb"/>
    <w:uiPriority w:val="20"/>
    <w:semiHidden/>
    <w:unhideWhenUsed/>
    <w:qFormat/>
    <w:pPr>
      <w:ind w:left="851"/>
    </w:pPr>
  </w:style>
  <w:style w:type="paragraph" w:customStyle="1" w:styleId="Stext2arb">
    <w:name w:val="S_text 2_arb"/>
    <w:basedOn w:val="Stext1arb"/>
    <w:uiPriority w:val="20"/>
    <w:semiHidden/>
    <w:unhideWhenUsed/>
    <w:qFormat/>
  </w:style>
  <w:style w:type="paragraph" w:customStyle="1" w:styleId="Stext3arb">
    <w:name w:val="S_text 3_arb"/>
    <w:basedOn w:val="Stext2arb"/>
    <w:uiPriority w:val="20"/>
    <w:semiHidden/>
    <w:unhideWhenUsed/>
    <w:qFormat/>
    <w:pPr>
      <w:ind w:left="1560"/>
    </w:pPr>
  </w:style>
  <w:style w:type="paragraph" w:customStyle="1" w:styleId="Stext4arb">
    <w:name w:val="S_text 4_arb"/>
    <w:basedOn w:val="Stext3arb"/>
    <w:uiPriority w:val="20"/>
    <w:semiHidden/>
    <w:unhideWhenUsed/>
    <w:qFormat/>
    <w:pPr>
      <w:ind w:left="2269"/>
    </w:pPr>
  </w:style>
  <w:style w:type="paragraph" w:customStyle="1" w:styleId="Stext5arb">
    <w:name w:val="S_text 5_arb"/>
    <w:basedOn w:val="Stext4arb"/>
    <w:uiPriority w:val="20"/>
    <w:semiHidden/>
    <w:unhideWhenUsed/>
    <w:qFormat/>
    <w:pPr>
      <w:ind w:left="2978"/>
    </w:pPr>
  </w:style>
  <w:style w:type="paragraph" w:customStyle="1" w:styleId="Stextquotationarb">
    <w:name w:val="S_text quotation_arb"/>
    <w:basedOn w:val="Stext4arb"/>
    <w:uiPriority w:val="20"/>
    <w:semiHidden/>
    <w:unhideWhenUsed/>
    <w:qFormat/>
    <w:pPr>
      <w:spacing w:line="240" w:lineRule="auto"/>
      <w:ind w:right="1134"/>
    </w:pPr>
  </w:style>
  <w:style w:type="paragraph" w:customStyle="1" w:styleId="Stextmultilingual">
    <w:name w:val="S_text multilingual"/>
    <w:basedOn w:val="Stext"/>
    <w:uiPriority w:val="20"/>
    <w:semiHidden/>
    <w:unhideWhenUsed/>
    <w:qFormat/>
    <w:pPr>
      <w:ind w:left="964"/>
    </w:pPr>
  </w:style>
  <w:style w:type="paragraph" w:customStyle="1" w:styleId="Smarginalnumber">
    <w:name w:val="S_marginal number"/>
    <w:basedOn w:val="Stext1"/>
    <w:uiPriority w:val="25"/>
    <w:qFormat/>
    <w:pPr>
      <w:numPr>
        <w:numId w:val="7"/>
      </w:numPr>
      <w:ind w:hanging="680"/>
    </w:pPr>
  </w:style>
  <w:style w:type="paragraph" w:customStyle="1" w:styleId="Smarginalnumberarb">
    <w:name w:val="S_marginal number_arb"/>
    <w:basedOn w:val="Stext1arb"/>
    <w:uiPriority w:val="25"/>
    <w:semiHidden/>
    <w:unhideWhenUsed/>
    <w:qFormat/>
    <w:pPr>
      <w:numPr>
        <w:numId w:val="8"/>
      </w:numPr>
      <w:ind w:hanging="851"/>
    </w:pPr>
  </w:style>
  <w:style w:type="paragraph" w:customStyle="1" w:styleId="SNumberedParagraph1">
    <w:name w:val="S_Numbered Paragraph 1"/>
    <w:basedOn w:val="Sheading1"/>
    <w:uiPriority w:val="10"/>
    <w:qFormat/>
    <w:pPr>
      <w:keepNext w:val="0"/>
      <w:keepLines w:val="0"/>
    </w:pPr>
    <w:rPr>
      <w:b w:val="0"/>
    </w:rPr>
  </w:style>
  <w:style w:type="paragraph" w:customStyle="1" w:styleId="SNumberedParagraph2">
    <w:name w:val="S_Numbered Paragraph 2"/>
    <w:basedOn w:val="Sheading2"/>
    <w:uiPriority w:val="10"/>
    <w:qFormat/>
    <w:pPr>
      <w:keepNext w:val="0"/>
      <w:keepLines w:val="0"/>
    </w:pPr>
  </w:style>
  <w:style w:type="paragraph" w:customStyle="1" w:styleId="SNumberedParagraph3">
    <w:name w:val="S_Numbered Paragraph 3"/>
    <w:basedOn w:val="Sheading3"/>
    <w:uiPriority w:val="10"/>
    <w:qFormat/>
    <w:pPr>
      <w:keepNext w:val="0"/>
      <w:keepLines w:val="0"/>
    </w:pPr>
  </w:style>
  <w:style w:type="paragraph" w:customStyle="1" w:styleId="SNumberedParagraph4">
    <w:name w:val="S_Numbered Paragraph 4"/>
    <w:basedOn w:val="Sheading4"/>
    <w:uiPriority w:val="10"/>
    <w:qFormat/>
    <w:pPr>
      <w:keepNext w:val="0"/>
      <w:keepLines w:val="0"/>
    </w:pPr>
  </w:style>
  <w:style w:type="paragraph" w:customStyle="1" w:styleId="SNumberedParagraph5">
    <w:name w:val="S_Numbered Paragraph 5"/>
    <w:basedOn w:val="Sheading5"/>
    <w:uiPriority w:val="10"/>
    <w:qFormat/>
    <w:pPr>
      <w:keepNext w:val="0"/>
      <w:keepLines w:val="0"/>
    </w:pPr>
  </w:style>
  <w:style w:type="paragraph" w:customStyle="1" w:styleId="SNumberedParagraphL1">
    <w:name w:val="S_Numbered ParagraphL1"/>
    <w:basedOn w:val="SheadingL1"/>
    <w:uiPriority w:val="11"/>
    <w:semiHidden/>
    <w:unhideWhenUsed/>
    <w:qFormat/>
    <w:pPr>
      <w:keepNext w:val="0"/>
    </w:pPr>
    <w:rPr>
      <w:b w:val="0"/>
    </w:rPr>
  </w:style>
  <w:style w:type="paragraph" w:customStyle="1" w:styleId="SNumberedParagraphL2">
    <w:name w:val="S_Numbered ParagraphL2"/>
    <w:basedOn w:val="SheadingL2"/>
    <w:uiPriority w:val="11"/>
    <w:semiHidden/>
    <w:unhideWhenUsed/>
    <w:qFormat/>
    <w:pPr>
      <w:keepNext w:val="0"/>
    </w:pPr>
  </w:style>
  <w:style w:type="paragraph" w:customStyle="1" w:styleId="SNumberedParagraphL3">
    <w:name w:val="S_Numbered ParagraphL3"/>
    <w:basedOn w:val="SheadingL3"/>
    <w:uiPriority w:val="11"/>
    <w:semiHidden/>
    <w:unhideWhenUsed/>
    <w:qFormat/>
    <w:pPr>
      <w:keepNext w:val="0"/>
    </w:pPr>
  </w:style>
  <w:style w:type="paragraph" w:customStyle="1" w:styleId="SNumberedParagraphL4">
    <w:name w:val="S_Numbered ParagraphL4"/>
    <w:basedOn w:val="SheadingL4"/>
    <w:uiPriority w:val="11"/>
    <w:semiHidden/>
    <w:unhideWhenUsed/>
    <w:qFormat/>
    <w:pPr>
      <w:keepNext w:val="0"/>
    </w:pPr>
  </w:style>
  <w:style w:type="paragraph" w:customStyle="1" w:styleId="SNumberedParagraphL5">
    <w:name w:val="S_Numbered ParagraphL5"/>
    <w:basedOn w:val="SheadingL5"/>
    <w:uiPriority w:val="11"/>
    <w:semiHidden/>
    <w:unhideWhenUsed/>
    <w:qFormat/>
    <w:pPr>
      <w:keepNext w:val="0"/>
    </w:pPr>
  </w:style>
  <w:style w:type="paragraph" w:customStyle="1" w:styleId="SNumberedParagraphM1">
    <w:name w:val="S_Numbered ParagraphM1"/>
    <w:basedOn w:val="SheadingM1"/>
    <w:uiPriority w:val="12"/>
    <w:semiHidden/>
    <w:unhideWhenUsed/>
    <w:qFormat/>
    <w:pPr>
      <w:keepNext w:val="0"/>
    </w:pPr>
    <w:rPr>
      <w:b w:val="0"/>
    </w:rPr>
  </w:style>
  <w:style w:type="paragraph" w:customStyle="1" w:styleId="SNumberedParagraphM2">
    <w:name w:val="S_Numbered ParagraphM2"/>
    <w:basedOn w:val="SheadingM2"/>
    <w:uiPriority w:val="12"/>
    <w:semiHidden/>
    <w:unhideWhenUsed/>
    <w:qFormat/>
    <w:pPr>
      <w:keepNext w:val="0"/>
    </w:pPr>
  </w:style>
  <w:style w:type="paragraph" w:customStyle="1" w:styleId="SNumberedParagraphM3">
    <w:name w:val="S_Numbered ParagraphM3"/>
    <w:basedOn w:val="SheadingM3"/>
    <w:uiPriority w:val="12"/>
    <w:semiHidden/>
    <w:unhideWhenUsed/>
    <w:qFormat/>
    <w:pPr>
      <w:keepNext w:val="0"/>
    </w:pPr>
  </w:style>
  <w:style w:type="paragraph" w:customStyle="1" w:styleId="SNumberedParagraphM4">
    <w:name w:val="S_Numbered ParagraphM4"/>
    <w:basedOn w:val="SheadingM4"/>
    <w:uiPriority w:val="12"/>
    <w:semiHidden/>
    <w:unhideWhenUsed/>
    <w:qFormat/>
    <w:pPr>
      <w:keepNext w:val="0"/>
    </w:pPr>
  </w:style>
  <w:style w:type="paragraph" w:customStyle="1" w:styleId="SNumberedParagraphM5">
    <w:name w:val="S_Numbered ParagraphM5"/>
    <w:basedOn w:val="SheadingM5"/>
    <w:uiPriority w:val="12"/>
    <w:semiHidden/>
    <w:unhideWhenUsed/>
    <w:qFormat/>
    <w:pPr>
      <w:keepNext w:val="0"/>
    </w:pPr>
  </w:style>
  <w:style w:type="paragraph" w:customStyle="1" w:styleId="SNumberedParagraphR1">
    <w:name w:val="S_Numbered ParagraphR1"/>
    <w:basedOn w:val="SheadingR1"/>
    <w:uiPriority w:val="13"/>
    <w:semiHidden/>
    <w:unhideWhenUsed/>
    <w:qFormat/>
    <w:pPr>
      <w:keepNext w:val="0"/>
    </w:pPr>
    <w:rPr>
      <w:b w:val="0"/>
    </w:rPr>
  </w:style>
  <w:style w:type="paragraph" w:customStyle="1" w:styleId="SNumberedParagraphR2">
    <w:name w:val="S_Numbered ParagraphR2"/>
    <w:basedOn w:val="SheadingR2"/>
    <w:uiPriority w:val="13"/>
    <w:semiHidden/>
    <w:unhideWhenUsed/>
    <w:qFormat/>
    <w:pPr>
      <w:keepNext w:val="0"/>
    </w:pPr>
  </w:style>
  <w:style w:type="paragraph" w:customStyle="1" w:styleId="SNumberedParagraphR3">
    <w:name w:val="S_Numbered ParagraphR3"/>
    <w:basedOn w:val="SheadingR3"/>
    <w:uiPriority w:val="13"/>
    <w:semiHidden/>
    <w:unhideWhenUsed/>
    <w:qFormat/>
    <w:pPr>
      <w:keepNext w:val="0"/>
    </w:pPr>
  </w:style>
  <w:style w:type="paragraph" w:customStyle="1" w:styleId="SNumberedParagraphR4">
    <w:name w:val="S_Numbered ParagraphR4"/>
    <w:basedOn w:val="SheadingR4"/>
    <w:uiPriority w:val="13"/>
    <w:semiHidden/>
    <w:unhideWhenUsed/>
    <w:qFormat/>
    <w:pPr>
      <w:keepNext w:val="0"/>
    </w:pPr>
  </w:style>
  <w:style w:type="paragraph" w:customStyle="1" w:styleId="SNumberedParagraphR5">
    <w:name w:val="S_Numbered ParagraphR5"/>
    <w:basedOn w:val="SheadingR5"/>
    <w:uiPriority w:val="13"/>
    <w:semiHidden/>
    <w:unhideWhenUsed/>
    <w:qFormat/>
    <w:pPr>
      <w:keepNext w:val="0"/>
    </w:pPr>
  </w:style>
  <w:style w:type="paragraph" w:customStyle="1" w:styleId="SSchedule1">
    <w:name w:val="S_Schedule 1"/>
    <w:basedOn w:val="Stext"/>
    <w:next w:val="Stext1"/>
    <w:uiPriority w:val="30"/>
    <w:pPr>
      <w:keepNext/>
      <w:keepLines/>
      <w:numPr>
        <w:ilvl w:val="1"/>
        <w:numId w:val="2"/>
      </w:numPr>
      <w:spacing w:before="360" w:after="120"/>
      <w:outlineLvl w:val="0"/>
    </w:pPr>
    <w:rPr>
      <w:b/>
    </w:rPr>
  </w:style>
  <w:style w:type="paragraph" w:customStyle="1" w:styleId="SSchedule2">
    <w:name w:val="S_Schedule 2"/>
    <w:basedOn w:val="Stext1"/>
    <w:next w:val="Stext2"/>
    <w:uiPriority w:val="30"/>
    <w:pPr>
      <w:numPr>
        <w:ilvl w:val="2"/>
        <w:numId w:val="2"/>
      </w:numPr>
      <w:outlineLvl w:val="1"/>
    </w:pPr>
  </w:style>
  <w:style w:type="paragraph" w:customStyle="1" w:styleId="SSchedule3">
    <w:name w:val="S_Schedule 3"/>
    <w:basedOn w:val="Stext2"/>
    <w:next w:val="Stext3"/>
    <w:uiPriority w:val="30"/>
    <w:pPr>
      <w:numPr>
        <w:ilvl w:val="3"/>
        <w:numId w:val="2"/>
      </w:numPr>
      <w:outlineLvl w:val="2"/>
    </w:pPr>
  </w:style>
  <w:style w:type="paragraph" w:customStyle="1" w:styleId="SSchedule4">
    <w:name w:val="S_Schedule 4"/>
    <w:basedOn w:val="Stext3"/>
    <w:next w:val="Stext4"/>
    <w:uiPriority w:val="30"/>
    <w:pPr>
      <w:numPr>
        <w:ilvl w:val="4"/>
        <w:numId w:val="2"/>
      </w:numPr>
      <w:outlineLvl w:val="3"/>
    </w:pPr>
  </w:style>
  <w:style w:type="paragraph" w:customStyle="1" w:styleId="SSchedule5">
    <w:name w:val="S_Schedule 5"/>
    <w:basedOn w:val="Stext4"/>
    <w:next w:val="Stext5"/>
    <w:uiPriority w:val="30"/>
    <w:pPr>
      <w:numPr>
        <w:ilvl w:val="5"/>
        <w:numId w:val="2"/>
      </w:numPr>
      <w:outlineLvl w:val="4"/>
    </w:pPr>
  </w:style>
  <w:style w:type="paragraph" w:customStyle="1" w:styleId="Spreamble">
    <w:name w:val="S_preamble"/>
    <w:basedOn w:val="Stext"/>
    <w:uiPriority w:val="99"/>
    <w:semiHidden/>
    <w:pPr>
      <w:spacing w:before="120" w:line="240" w:lineRule="atLeast"/>
      <w:jc w:val="center"/>
    </w:pPr>
  </w:style>
  <w:style w:type="paragraph" w:customStyle="1" w:styleId="Stextnarrow">
    <w:name w:val="S_text_narrow"/>
    <w:basedOn w:val="Stext"/>
    <w:uiPriority w:val="27"/>
    <w:qFormat/>
    <w:pPr>
      <w:contextualSpacing/>
    </w:pPr>
  </w:style>
  <w:style w:type="paragraph" w:customStyle="1" w:styleId="Stext1narrow">
    <w:name w:val="S_text_1_narrow"/>
    <w:basedOn w:val="Stext1"/>
    <w:uiPriority w:val="28"/>
    <w:qFormat/>
    <w:pPr>
      <w:contextualSpacing/>
    </w:pPr>
  </w:style>
  <w:style w:type="paragraph" w:customStyle="1" w:styleId="Stext2narrow">
    <w:name w:val="S_text_2_narrow"/>
    <w:basedOn w:val="Stext2"/>
    <w:uiPriority w:val="28"/>
    <w:qFormat/>
    <w:pPr>
      <w:contextualSpacing/>
    </w:pPr>
  </w:style>
  <w:style w:type="paragraph" w:customStyle="1" w:styleId="Stext3narrow">
    <w:name w:val="S_text_3_narrow"/>
    <w:basedOn w:val="Stext3"/>
    <w:uiPriority w:val="28"/>
    <w:qFormat/>
    <w:pPr>
      <w:contextualSpacing/>
    </w:pPr>
  </w:style>
  <w:style w:type="paragraph" w:customStyle="1" w:styleId="Stext4narrow">
    <w:name w:val="S_text_4_narrow"/>
    <w:basedOn w:val="Stext4"/>
    <w:uiPriority w:val="28"/>
    <w:qFormat/>
    <w:pPr>
      <w:contextualSpacing/>
    </w:pPr>
  </w:style>
  <w:style w:type="paragraph" w:customStyle="1" w:styleId="Stext5narrow">
    <w:name w:val="S_text_5_narrow"/>
    <w:basedOn w:val="Stext5"/>
    <w:uiPriority w:val="28"/>
    <w:qFormat/>
    <w:pPr>
      <w:contextualSpacing/>
    </w:pPr>
  </w:style>
  <w:style w:type="paragraph" w:customStyle="1" w:styleId="Stitleofdocument">
    <w:name w:val="S_title of document"/>
    <w:basedOn w:val="Stext"/>
    <w:uiPriority w:val="39"/>
    <w:pPr>
      <w:spacing w:before="1800" w:after="400"/>
      <w:jc w:val="center"/>
    </w:pPr>
    <w:rPr>
      <w:b/>
      <w:caps/>
      <w:spacing w:val="80"/>
      <w:szCs w:val="18"/>
    </w:rPr>
  </w:style>
  <w:style w:type="paragraph" w:customStyle="1" w:styleId="Sunnumberedheadline">
    <w:name w:val="S_unnumbered headline"/>
    <w:basedOn w:val="Stext"/>
    <w:next w:val="Stext"/>
    <w:uiPriority w:val="39"/>
    <w:pPr>
      <w:spacing w:before="360" w:after="240"/>
      <w:jc w:val="center"/>
    </w:pPr>
    <w:rPr>
      <w:b/>
    </w:rPr>
  </w:style>
  <w:style w:type="paragraph" w:customStyle="1" w:styleId="SunnumberedheadlineSchedule1">
    <w:name w:val="S_unnumbered headline Schedule 1"/>
    <w:basedOn w:val="Sunnumberedheadline"/>
    <w:uiPriority w:val="39"/>
    <w:qFormat/>
    <w:pPr>
      <w:outlineLvl w:val="0"/>
    </w:pPr>
  </w:style>
  <w:style w:type="paragraph" w:customStyle="1" w:styleId="SunnumberedheadlineSchedule2">
    <w:name w:val="S_unnumbered headline Schedule 2"/>
    <w:basedOn w:val="SunnumberedheadlineSchedule1"/>
    <w:uiPriority w:val="39"/>
    <w:qFormat/>
    <w:pPr>
      <w:outlineLvl w:val="1"/>
    </w:pPr>
  </w:style>
  <w:style w:type="paragraph" w:customStyle="1" w:styleId="SSeller">
    <w:name w:val="S_Seller"/>
    <w:basedOn w:val="Stext"/>
    <w:uiPriority w:val="39"/>
    <w:pPr>
      <w:spacing w:before="0" w:after="0"/>
      <w:jc w:val="center"/>
    </w:pPr>
  </w:style>
  <w:style w:type="paragraph" w:customStyle="1" w:styleId="Ssmallgap">
    <w:name w:val="S_small gap"/>
    <w:basedOn w:val="Stext"/>
    <w:uiPriority w:val="39"/>
    <w:qFormat/>
    <w:pPr>
      <w:spacing w:before="0" w:after="0" w:line="240" w:lineRule="auto"/>
    </w:pPr>
  </w:style>
  <w:style w:type="paragraph" w:customStyle="1" w:styleId="Saddressee">
    <w:name w:val="S_addressee"/>
    <w:basedOn w:val="Stext"/>
    <w:uiPriority w:val="39"/>
    <w:pPr>
      <w:spacing w:before="0" w:after="0"/>
    </w:pPr>
  </w:style>
  <w:style w:type="paragraph" w:customStyle="1" w:styleId="Sbyandbetween">
    <w:name w:val="S_by and between"/>
    <w:basedOn w:val="Stext"/>
    <w:uiPriority w:val="39"/>
    <w:pPr>
      <w:spacing w:before="400" w:after="400"/>
      <w:jc w:val="center"/>
    </w:pPr>
    <w:rPr>
      <w:sz w:val="18"/>
      <w:szCs w:val="18"/>
    </w:rPr>
  </w:style>
  <w:style w:type="paragraph" w:customStyle="1" w:styleId="Sdatefile">
    <w:name w:val="S_date_file"/>
    <w:basedOn w:val="Stext"/>
    <w:uiPriority w:val="44"/>
    <w:pPr>
      <w:spacing w:before="0" w:after="0" w:line="240" w:lineRule="auto"/>
      <w:jc w:val="right"/>
    </w:pPr>
    <w:rPr>
      <w:sz w:val="16"/>
      <w:szCs w:val="16"/>
    </w:rPr>
  </w:style>
  <w:style w:type="paragraph" w:customStyle="1" w:styleId="Stableofcontents">
    <w:name w:val="S_table of contents"/>
    <w:basedOn w:val="Stext"/>
    <w:next w:val="Stext"/>
    <w:uiPriority w:val="99"/>
    <w:semiHidden/>
    <w:pPr>
      <w:pageBreakBefore/>
      <w:spacing w:before="120" w:after="360"/>
      <w:jc w:val="center"/>
    </w:pPr>
    <w:rPr>
      <w:b/>
      <w:caps/>
      <w:spacing w:val="70"/>
    </w:rPr>
  </w:style>
  <w:style w:type="paragraph" w:customStyle="1" w:styleId="Stexttable">
    <w:name w:val="S_text table"/>
    <w:basedOn w:val="Stext"/>
    <w:uiPriority w:val="49"/>
    <w:qFormat/>
    <w:pPr>
      <w:spacing w:before="80"/>
    </w:pPr>
  </w:style>
  <w:style w:type="paragraph" w:customStyle="1" w:styleId="Stexttablesmall">
    <w:name w:val="S_text table_small"/>
    <w:basedOn w:val="Stexttable"/>
    <w:uiPriority w:val="49"/>
    <w:qFormat/>
    <w:pPr>
      <w:spacing w:before="60"/>
    </w:pPr>
    <w:rPr>
      <w:sz w:val="16"/>
      <w:szCs w:val="16"/>
    </w:rPr>
  </w:style>
  <w:style w:type="paragraph" w:customStyle="1" w:styleId="SKopfzeile6pt">
    <w:name w:val="S_Kopfzeile 6pt"/>
    <w:basedOn w:val="Stext"/>
    <w:uiPriority w:val="1"/>
    <w:semiHidden/>
    <w:pPr>
      <w:spacing w:before="0" w:after="0" w:line="240" w:lineRule="auto"/>
      <w:ind w:left="510"/>
    </w:pPr>
    <w:rPr>
      <w:color w:val="000000"/>
      <w:sz w:val="12"/>
      <w:szCs w:val="12"/>
    </w:rPr>
  </w:style>
  <w:style w:type="paragraph" w:customStyle="1" w:styleId="SKopfzeile5">
    <w:name w:val="S_Kopfzeile 5"/>
    <w:aliases w:val="5 pt"/>
    <w:basedOn w:val="SKopfzeile6pt"/>
    <w:semiHidden/>
    <w:rPr>
      <w:sz w:val="11"/>
      <w:szCs w:val="11"/>
    </w:rPr>
  </w:style>
  <w:style w:type="paragraph" w:customStyle="1" w:styleId="SKopfzeile5pt">
    <w:name w:val="S_Kopfzeile 5 pt"/>
    <w:basedOn w:val="Stext"/>
    <w:uiPriority w:val="1"/>
    <w:semiHidden/>
    <w:pPr>
      <w:ind w:left="510"/>
    </w:pPr>
    <w:rPr>
      <w:rFonts w:ascii="HelveticaNeueLT Pro 43 LtEx" w:hAnsi="HelveticaNeueLT Pro 43 LtEx"/>
      <w:color w:val="000000"/>
      <w:sz w:val="10"/>
      <w:szCs w:val="10"/>
    </w:rPr>
  </w:style>
  <w:style w:type="paragraph" w:customStyle="1" w:styleId="Snumberofpages">
    <w:name w:val="S_number of pages"/>
    <w:basedOn w:val="Stext"/>
    <w:uiPriority w:val="1"/>
    <w:semiHidden/>
    <w:pPr>
      <w:jc w:val="center"/>
    </w:pPr>
    <w:rPr>
      <w:snapToGrid w:val="0"/>
      <w:sz w:val="14"/>
    </w:rPr>
  </w:style>
  <w:style w:type="paragraph" w:styleId="FootnoteText">
    <w:name w:val="footnote text"/>
    <w:aliases w:val="S_footer,Podrozdział,stile 1,Footnote1,Footnote2,Footnote3,Footnote4,Footnote5,Footnote6,Footnote7,Footnote8,Footnote9,Footnote10,Footnote11,Footnote21,Footnote31,Footnote41,Footnote51,Footnote61,Footnote71,Footnote81,Footnote91,single spa"/>
    <w:basedOn w:val="Stext"/>
    <w:link w:val="FootnoteTextChar"/>
    <w:uiPriority w:val="99"/>
    <w:qFormat/>
    <w:pPr>
      <w:tabs>
        <w:tab w:val="left" w:pos="340"/>
      </w:tabs>
      <w:spacing w:before="0" w:after="0" w:line="0" w:lineRule="atLeast"/>
      <w:ind w:left="340" w:hanging="340"/>
    </w:pPr>
    <w:rPr>
      <w:sz w:val="16"/>
    </w:rPr>
  </w:style>
  <w:style w:type="paragraph" w:customStyle="1" w:styleId="Sheader">
    <w:name w:val="S_header"/>
    <w:basedOn w:val="Stext"/>
    <w:semiHidden/>
    <w:pPr>
      <w:spacing w:before="0" w:after="0" w:line="0" w:lineRule="atLeast"/>
    </w:pPr>
    <w:rPr>
      <w:sz w:val="16"/>
    </w:rPr>
  </w:style>
  <w:style w:type="paragraph" w:styleId="Header">
    <w:name w:val="header"/>
    <w:link w:val="HeaderChar"/>
    <w:uiPriority w:val="99"/>
  </w:style>
  <w:style w:type="table" w:customStyle="1" w:styleId="Stableplain">
    <w:name w:val="S_table plain"/>
    <w:uiPriority w:val="99"/>
    <w:pPr>
      <w:ind w:left="136" w:right="136"/>
    </w:pPr>
    <w:tblPr>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0" w:type="dxa"/>
        <w:left w:w="68" w:type="dxa"/>
        <w:bottom w:w="0" w:type="dxa"/>
        <w:right w:w="68" w:type="dxa"/>
      </w:tblCellMar>
    </w:tblPr>
  </w:style>
  <w:style w:type="table" w:customStyle="1" w:styleId="StableplainnoBorder">
    <w:name w:val="S_table plain_noBorder"/>
    <w:basedOn w:val="Stableplain"/>
    <w:uiPriority w:val="99"/>
    <w:pPr>
      <w:ind w:left="0" w:right="0"/>
    </w:p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style>
  <w:style w:type="table" w:customStyle="1" w:styleId="Stableplaincolumnasheader">
    <w:name w:val="S_table plain column as header"/>
    <w:basedOn w:val="Stableplain"/>
    <w:uiPriority w:val="99"/>
    <w:qFormat/>
    <w:tblPr/>
    <w:tblStylePr w:type="firstCol">
      <w:rPr>
        <w:rFonts w:ascii="Verdana" w:hAnsi="Verdana"/>
        <w:b/>
        <w:sz w:val="20"/>
      </w:rPr>
      <w:tblPr/>
      <w:tcPr>
        <w:shd w:val="clear" w:color="auto" w:fill="BFBFBF"/>
      </w:tcPr>
    </w:tblStylePr>
  </w:style>
  <w:style w:type="table" w:customStyle="1" w:styleId="Stableplainrowasheader">
    <w:name w:val="S_table plain row as header"/>
    <w:basedOn w:val="Stableplain"/>
    <w:uiPriority w:val="99"/>
    <w:qFormat/>
    <w:pPr>
      <w:ind w:left="0" w:right="0"/>
    </w:pPr>
    <w:tblPr/>
    <w:tblStylePr w:type="firstRow">
      <w:rPr>
        <w:rFonts w:ascii="Verdana" w:hAnsi="Verdana"/>
        <w:b/>
        <w:sz w:val="20"/>
      </w:rPr>
      <w:tblPr/>
      <w:tcPr>
        <w:shd w:val="clear" w:color="auto" w:fill="BFBFBF"/>
      </w:tcPr>
    </w:tblStylePr>
  </w:style>
  <w:style w:type="table" w:customStyle="1" w:styleId="Stableplainrowandcolumnasheader">
    <w:name w:val="S_table plain row and column as header"/>
    <w:basedOn w:val="Stableplainrowasheader"/>
    <w:uiPriority w:val="99"/>
    <w:qFormat/>
    <w:tblPr/>
    <w:tblStylePr w:type="firstRow">
      <w:rPr>
        <w:rFonts w:ascii="Verdana" w:hAnsi="Verdana"/>
        <w:b/>
        <w:sz w:val="20"/>
      </w:rPr>
      <w:tblPr/>
      <w:tcPr>
        <w:shd w:val="clear" w:color="auto" w:fill="BFBFBF"/>
      </w:tcPr>
    </w:tblStylePr>
    <w:tblStylePr w:type="firstCol">
      <w:rPr>
        <w:rFonts w:ascii="Verdana" w:hAnsi="Verdana"/>
        <w:b/>
        <w:sz w:val="20"/>
      </w:rPr>
      <w:tblPr/>
      <w:tcPr>
        <w:shd w:val="clear" w:color="auto" w:fill="BFBFBF"/>
      </w:tcPr>
    </w:tblStylePr>
  </w:style>
  <w:style w:type="table" w:customStyle="1" w:styleId="Stablestructured">
    <w:name w:val="S_table structured"/>
    <w:basedOn w:val="Stableplain"/>
    <w:uiPriority w:val="99"/>
    <w:qFormat/>
    <w:tblPr>
      <w:tblStyleRowBandSize w:val="1"/>
    </w:tblPr>
    <w:tblStylePr w:type="band1Horz">
      <w:rPr>
        <w:rFonts w:ascii="Verdana" w:hAnsi="Verdana"/>
        <w:sz w:val="20"/>
      </w:rPr>
    </w:tblStylePr>
    <w:tblStylePr w:type="band2Horz">
      <w:tblPr/>
      <w:tcPr>
        <w:shd w:val="clear" w:color="auto" w:fill="F2F2F2"/>
      </w:tcPr>
    </w:tblStylePr>
  </w:style>
  <w:style w:type="table" w:customStyle="1" w:styleId="Stablestructuredcolumnasheader">
    <w:name w:val="S_table structured column as header"/>
    <w:basedOn w:val="Stableplain"/>
    <w:uiPriority w:val="99"/>
    <w:qFormat/>
    <w:tblPr>
      <w:tblStyleRowBandSize w:val="1"/>
    </w:tblPr>
    <w:tcPr>
      <w:shd w:val="clear" w:color="auto" w:fill="auto"/>
    </w:tcPr>
    <w:tblStylePr w:type="firstCol">
      <w:tblPr/>
      <w:tcPr>
        <w:shd w:val="clear" w:color="auto" w:fill="BFBFBF"/>
      </w:tcPr>
    </w:tblStylePr>
    <w:tblStylePr w:type="band1Horz">
      <w:rPr>
        <w:rFonts w:ascii="Verdana" w:hAnsi="Verdana"/>
        <w:sz w:val="20"/>
      </w:rPr>
      <w:tblPr/>
      <w:tcPr>
        <w:shd w:val="clear" w:color="auto" w:fill="F2F2F2"/>
      </w:tcPr>
    </w:tblStylePr>
    <w:tblStylePr w:type="nwCell">
      <w:tblPr/>
      <w:tcPr>
        <w:shd w:val="clear" w:color="auto" w:fill="BFBFBF"/>
      </w:tcPr>
    </w:tblStylePr>
  </w:style>
  <w:style w:type="table" w:customStyle="1" w:styleId="Stablestructuredrowasheader">
    <w:name w:val="S_table structured row as header"/>
    <w:basedOn w:val="Stablestructured"/>
    <w:uiPriority w:val="99"/>
    <w:qFormat/>
    <w:tblPr/>
    <w:tblStylePr w:type="firstRow">
      <w:rPr>
        <w:rFonts w:ascii="Verdana" w:hAnsi="Verdana"/>
        <w:b/>
        <w:sz w:val="20"/>
      </w:rPr>
      <w:tblPr/>
      <w:tcPr>
        <w:shd w:val="clear" w:color="auto" w:fill="BFBFBF"/>
      </w:tcPr>
    </w:tblStylePr>
    <w:tblStylePr w:type="band1Horz">
      <w:rPr>
        <w:rFonts w:ascii="Verdana" w:hAnsi="Verdana"/>
        <w:sz w:val="20"/>
      </w:rPr>
    </w:tblStylePr>
    <w:tblStylePr w:type="band2Horz">
      <w:tblPr/>
      <w:tcPr>
        <w:shd w:val="clear" w:color="auto" w:fill="F2F2F2"/>
      </w:tcPr>
    </w:tblStylePr>
  </w:style>
  <w:style w:type="table" w:customStyle="1" w:styleId="Stablestrucuturedrowandcolumnasheader">
    <w:name w:val="S_table strucutured row and column as header"/>
    <w:basedOn w:val="Stablestructured"/>
    <w:uiPriority w:val="99"/>
    <w:qFormat/>
    <w:tblPr/>
    <w:tblStylePr w:type="firstRow">
      <w:rPr>
        <w:rFonts w:ascii="Verdana" w:hAnsi="Verdana"/>
        <w:b/>
        <w:sz w:val="20"/>
      </w:rPr>
      <w:tblPr/>
      <w:tcPr>
        <w:shd w:val="clear" w:color="auto" w:fill="BFBFBF"/>
      </w:tcPr>
    </w:tblStylePr>
    <w:tblStylePr w:type="firstCol">
      <w:rPr>
        <w:rFonts w:ascii="Verdana" w:hAnsi="Verdana"/>
        <w:b/>
        <w:sz w:val="20"/>
      </w:rPr>
      <w:tblPr/>
      <w:tcPr>
        <w:shd w:val="clear" w:color="auto" w:fill="BFBFBF"/>
      </w:tcPr>
    </w:tblStylePr>
    <w:tblStylePr w:type="band1Horz">
      <w:rPr>
        <w:rFonts w:ascii="Verdana" w:hAnsi="Verdana"/>
        <w:sz w:val="20"/>
      </w:rPr>
    </w:tblStylePr>
    <w:tblStylePr w:type="band2Horz">
      <w:tblPr/>
      <w:tcPr>
        <w:shd w:val="clear" w:color="auto" w:fill="F2F2F2"/>
      </w:tcPr>
    </w:tblStylePr>
  </w:style>
  <w:style w:type="character" w:customStyle="1" w:styleId="StextZchn">
    <w:name w:val="S_text Zchn"/>
    <w:basedOn w:val="DefaultParagraphFont"/>
    <w:link w:val="Stext"/>
    <w:uiPriority w:val="11"/>
    <w:rsid w:val="00E56282"/>
  </w:style>
  <w:style w:type="character" w:customStyle="1" w:styleId="Heading1Char">
    <w:name w:val="Heading 1 Char"/>
    <w:basedOn w:val="DefaultParagraphFont"/>
    <w:link w:val="Heading1"/>
    <w:uiPriority w:val="9"/>
    <w:rsid w:val="003F1496"/>
    <w:rPr>
      <w:rFonts w:eastAsia="Times New Roman" w:cs="Times New Roman"/>
      <w:caps/>
      <w:color w:val="FFFFFF"/>
      <w:spacing w:val="15"/>
      <w:sz w:val="22"/>
      <w:szCs w:val="22"/>
      <w:shd w:val="clear" w:color="auto" w:fill="5B9BD5"/>
      <w:lang w:val="bg-BG" w:eastAsia="bg-BG"/>
    </w:rPr>
  </w:style>
  <w:style w:type="character" w:customStyle="1" w:styleId="Heading2Char">
    <w:name w:val="Heading 2 Char"/>
    <w:basedOn w:val="DefaultParagraphFont"/>
    <w:link w:val="Heading2"/>
    <w:uiPriority w:val="9"/>
    <w:rsid w:val="003F1496"/>
    <w:rPr>
      <w:rFonts w:eastAsia="Times New Roman" w:cs="Times New Roman"/>
      <w:b/>
      <w:smallCaps/>
      <w:spacing w:val="15"/>
      <w:shd w:val="clear" w:color="auto" w:fill="C5E0B3"/>
      <w:lang w:val="bg-BG" w:eastAsia="bg-BG"/>
    </w:rPr>
  </w:style>
  <w:style w:type="character" w:customStyle="1" w:styleId="Heading3Char">
    <w:name w:val="Heading 3 Char"/>
    <w:basedOn w:val="DefaultParagraphFont"/>
    <w:link w:val="Heading3"/>
    <w:uiPriority w:val="9"/>
    <w:rsid w:val="003F1496"/>
    <w:rPr>
      <w:rFonts w:eastAsia="Times New Roman" w:cs="Times New Roman"/>
      <w:caps/>
      <w:color w:val="538135"/>
      <w:spacing w:val="15"/>
      <w:lang w:val="bg-BG" w:eastAsia="bg-BG"/>
    </w:rPr>
  </w:style>
  <w:style w:type="character" w:customStyle="1" w:styleId="Heading4Char">
    <w:name w:val="Heading 4 Char"/>
    <w:basedOn w:val="DefaultParagraphFont"/>
    <w:link w:val="Heading4"/>
    <w:uiPriority w:val="9"/>
    <w:semiHidden/>
    <w:rsid w:val="003F1496"/>
    <w:rPr>
      <w:rFonts w:eastAsia="Times New Roman" w:cs="Times New Roman"/>
      <w:caps/>
      <w:color w:val="2E74B5"/>
      <w:spacing w:val="10"/>
      <w:lang w:val="bg-BG" w:eastAsia="bg-BG"/>
    </w:rPr>
  </w:style>
  <w:style w:type="character" w:customStyle="1" w:styleId="Heading5Char">
    <w:name w:val="Heading 5 Char"/>
    <w:basedOn w:val="DefaultParagraphFont"/>
    <w:link w:val="Heading5"/>
    <w:uiPriority w:val="9"/>
    <w:semiHidden/>
    <w:rsid w:val="003F1496"/>
    <w:rPr>
      <w:rFonts w:ascii="Times New Roman" w:eastAsia="Times New Roman" w:hAnsi="Times New Roman" w:cs="Times New Roman"/>
      <w:caps/>
      <w:color w:val="2E74B5"/>
      <w:spacing w:val="10"/>
      <w:sz w:val="24"/>
      <w:szCs w:val="24"/>
      <w:lang w:val="bg-BG" w:eastAsia="bg-BG"/>
    </w:rPr>
  </w:style>
  <w:style w:type="character" w:customStyle="1" w:styleId="Heading6Char">
    <w:name w:val="Heading 6 Char"/>
    <w:basedOn w:val="DefaultParagraphFont"/>
    <w:link w:val="Heading6"/>
    <w:uiPriority w:val="9"/>
    <w:semiHidden/>
    <w:rsid w:val="003F1496"/>
    <w:rPr>
      <w:rFonts w:ascii="Times New Roman" w:eastAsia="Times New Roman" w:hAnsi="Times New Roman" w:cs="Times New Roman"/>
      <w:caps/>
      <w:color w:val="2E74B5"/>
      <w:spacing w:val="10"/>
      <w:sz w:val="24"/>
      <w:szCs w:val="24"/>
      <w:lang w:val="bg-BG" w:eastAsia="bg-BG"/>
    </w:rPr>
  </w:style>
  <w:style w:type="character" w:customStyle="1" w:styleId="Heading7Char">
    <w:name w:val="Heading 7 Char"/>
    <w:basedOn w:val="DefaultParagraphFont"/>
    <w:link w:val="Heading7"/>
    <w:uiPriority w:val="9"/>
    <w:semiHidden/>
    <w:rsid w:val="003F1496"/>
    <w:rPr>
      <w:rFonts w:ascii="Times New Roman" w:eastAsia="Times New Roman" w:hAnsi="Times New Roman" w:cs="Times New Roman"/>
      <w:caps/>
      <w:color w:val="2E74B5"/>
      <w:spacing w:val="10"/>
      <w:sz w:val="24"/>
      <w:szCs w:val="24"/>
      <w:lang w:val="bg-BG" w:eastAsia="bg-BG"/>
    </w:rPr>
  </w:style>
  <w:style w:type="character" w:customStyle="1" w:styleId="Heading8Char">
    <w:name w:val="Heading 8 Char"/>
    <w:basedOn w:val="DefaultParagraphFont"/>
    <w:link w:val="Heading8"/>
    <w:uiPriority w:val="9"/>
    <w:semiHidden/>
    <w:rsid w:val="003F1496"/>
    <w:rPr>
      <w:rFonts w:ascii="Times New Roman" w:eastAsia="Times New Roman" w:hAnsi="Times New Roman" w:cs="Times New Roman"/>
      <w:caps/>
      <w:spacing w:val="10"/>
      <w:sz w:val="18"/>
      <w:szCs w:val="18"/>
      <w:lang w:val="bg-BG" w:eastAsia="bg-BG"/>
    </w:rPr>
  </w:style>
  <w:style w:type="character" w:customStyle="1" w:styleId="Heading9Char">
    <w:name w:val="Heading 9 Char"/>
    <w:basedOn w:val="DefaultParagraphFont"/>
    <w:link w:val="Heading9"/>
    <w:uiPriority w:val="9"/>
    <w:semiHidden/>
    <w:rsid w:val="003F1496"/>
    <w:rPr>
      <w:rFonts w:ascii="Times New Roman" w:eastAsia="Times New Roman" w:hAnsi="Times New Roman" w:cs="Times New Roman"/>
      <w:i/>
      <w:iCs/>
      <w:caps/>
      <w:spacing w:val="10"/>
      <w:sz w:val="18"/>
      <w:szCs w:val="18"/>
      <w:lang w:val="bg-BG" w:eastAsia="bg-BG"/>
    </w:rPr>
  </w:style>
  <w:style w:type="paragraph" w:styleId="ListParagraph">
    <w:name w:val="List Paragraph"/>
    <w:basedOn w:val="Normal"/>
    <w:uiPriority w:val="34"/>
    <w:qFormat/>
    <w:rsid w:val="003F1496"/>
    <w:pPr>
      <w:keepLines/>
      <w:spacing w:before="120" w:after="120" w:line="276" w:lineRule="auto"/>
      <w:ind w:left="720"/>
      <w:contextualSpacing/>
      <w:jc w:val="both"/>
    </w:pPr>
    <w:rPr>
      <w:rFonts w:ascii="Verdana" w:hAnsi="Verdana"/>
      <w:sz w:val="20"/>
      <w:szCs w:val="20"/>
    </w:rPr>
  </w:style>
  <w:style w:type="character" w:customStyle="1" w:styleId="FootnoteTextChar">
    <w:name w:val="Footnote Text Char"/>
    <w:aliases w:val="S_footer Char,Podrozdział Char,stile 1 Char,Footnote1 Char,Footnote2 Char,Footnote3 Char,Footnote4 Char,Footnote5 Char,Footnote6 Char,Footnote7 Char,Footnote8 Char,Footnote9 Char,Footnote10 Char,Footnote11 Char,Footnote21 Char"/>
    <w:link w:val="FootnoteText"/>
    <w:uiPriority w:val="99"/>
    <w:rsid w:val="003F1496"/>
    <w:rPr>
      <w:sz w:val="16"/>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3F1496"/>
    <w:rPr>
      <w:vertAlign w:val="superscript"/>
    </w:rPr>
  </w:style>
  <w:style w:type="paragraph" w:styleId="BalloonText">
    <w:name w:val="Balloon Text"/>
    <w:basedOn w:val="Normal"/>
    <w:link w:val="BalloonTextChar"/>
    <w:uiPriority w:val="99"/>
    <w:semiHidden/>
    <w:unhideWhenUsed/>
    <w:rsid w:val="003F1496"/>
    <w:pPr>
      <w:keepLines/>
      <w:spacing w:before="120"/>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496"/>
    <w:rPr>
      <w:rFonts w:ascii="Segoe UI" w:eastAsia="Times New Roman" w:hAnsi="Segoe UI" w:cs="Segoe UI"/>
      <w:sz w:val="18"/>
      <w:szCs w:val="18"/>
      <w:lang w:val="bg-BG" w:eastAsia="bg-BG"/>
    </w:rPr>
  </w:style>
  <w:style w:type="character" w:customStyle="1" w:styleId="HeaderChar">
    <w:name w:val="Header Char"/>
    <w:basedOn w:val="DefaultParagraphFont"/>
    <w:link w:val="Header"/>
    <w:uiPriority w:val="99"/>
    <w:rsid w:val="003F1496"/>
  </w:style>
  <w:style w:type="paragraph" w:styleId="Footer">
    <w:name w:val="footer"/>
    <w:basedOn w:val="Normal"/>
    <w:link w:val="FooterChar"/>
    <w:uiPriority w:val="99"/>
    <w:unhideWhenUsed/>
    <w:rsid w:val="003F1496"/>
    <w:pPr>
      <w:keepLines/>
      <w:tabs>
        <w:tab w:val="center" w:pos="4536"/>
        <w:tab w:val="right" w:pos="9072"/>
      </w:tabs>
      <w:spacing w:before="120"/>
      <w:jc w:val="both"/>
    </w:pPr>
    <w:rPr>
      <w:rFonts w:ascii="Verdana" w:hAnsi="Verdana"/>
      <w:sz w:val="20"/>
      <w:szCs w:val="20"/>
    </w:rPr>
  </w:style>
  <w:style w:type="character" w:customStyle="1" w:styleId="FooterChar">
    <w:name w:val="Footer Char"/>
    <w:basedOn w:val="DefaultParagraphFont"/>
    <w:link w:val="Footer"/>
    <w:uiPriority w:val="99"/>
    <w:rsid w:val="003F1496"/>
    <w:rPr>
      <w:rFonts w:eastAsia="Times New Roman" w:cs="Times New Roman"/>
      <w:lang w:val="bg-BG" w:eastAsia="bg-BG"/>
    </w:rPr>
  </w:style>
  <w:style w:type="table" w:styleId="TableGrid">
    <w:name w:val="Table Grid"/>
    <w:basedOn w:val="TableNormal"/>
    <w:rsid w:val="003F1496"/>
    <w:pPr>
      <w:spacing w:line="240" w:lineRule="auto"/>
    </w:pPr>
    <w:rPr>
      <w:rFonts w:ascii="Times New Roman" w:eastAsia="Times New Roman" w:hAnsi="Times New Roman" w:cs="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F1496"/>
  </w:style>
  <w:style w:type="character" w:customStyle="1" w:styleId="EndnoteTextChar">
    <w:name w:val="Endnote Text Char"/>
    <w:basedOn w:val="DefaultParagraphFont"/>
    <w:link w:val="EndnoteText"/>
    <w:uiPriority w:val="99"/>
    <w:semiHidden/>
    <w:rsid w:val="003F1496"/>
    <w:rPr>
      <w:rFonts w:ascii="Times New Roman" w:eastAsia="Times New Roman" w:hAnsi="Times New Roman" w:cs="Times New Roman"/>
      <w:sz w:val="24"/>
      <w:szCs w:val="24"/>
      <w:lang w:val="bg-BG" w:eastAsia="bg-BG"/>
    </w:rPr>
  </w:style>
  <w:style w:type="character" w:styleId="EndnoteReference">
    <w:name w:val="endnote reference"/>
    <w:uiPriority w:val="99"/>
    <w:semiHidden/>
    <w:unhideWhenUsed/>
    <w:rsid w:val="003F1496"/>
    <w:rPr>
      <w:vertAlign w:val="superscript"/>
    </w:rPr>
  </w:style>
  <w:style w:type="character" w:customStyle="1" w:styleId="ldef">
    <w:name w:val="ldef"/>
    <w:basedOn w:val="DefaultParagraphFont"/>
    <w:rsid w:val="003F1496"/>
  </w:style>
  <w:style w:type="character" w:styleId="Hyperlink">
    <w:name w:val="Hyperlink"/>
    <w:uiPriority w:val="99"/>
    <w:unhideWhenUsed/>
    <w:rsid w:val="003F1496"/>
    <w:rPr>
      <w:color w:val="0563C1"/>
      <w:u w:val="single"/>
    </w:rPr>
  </w:style>
  <w:style w:type="character" w:styleId="CommentReference">
    <w:name w:val="annotation reference"/>
    <w:uiPriority w:val="99"/>
    <w:semiHidden/>
    <w:unhideWhenUsed/>
    <w:rsid w:val="003F1496"/>
    <w:rPr>
      <w:sz w:val="16"/>
      <w:szCs w:val="16"/>
    </w:rPr>
  </w:style>
  <w:style w:type="paragraph" w:styleId="CommentText">
    <w:name w:val="annotation text"/>
    <w:basedOn w:val="Normal"/>
    <w:link w:val="CommentTextChar"/>
    <w:uiPriority w:val="99"/>
    <w:unhideWhenUsed/>
    <w:rsid w:val="003F1496"/>
    <w:pPr>
      <w:keepLines/>
      <w:spacing w:before="120" w:after="120"/>
      <w:jc w:val="both"/>
    </w:pPr>
    <w:rPr>
      <w:rFonts w:ascii="Verdana" w:hAnsi="Verdana"/>
      <w:sz w:val="20"/>
      <w:szCs w:val="20"/>
    </w:rPr>
  </w:style>
  <w:style w:type="character" w:customStyle="1" w:styleId="CommentTextChar">
    <w:name w:val="Comment Text Char"/>
    <w:basedOn w:val="DefaultParagraphFont"/>
    <w:link w:val="CommentText"/>
    <w:uiPriority w:val="99"/>
    <w:rsid w:val="003F1496"/>
    <w:rPr>
      <w:rFonts w:eastAsia="Times New Roman" w:cs="Times New Roman"/>
      <w:lang w:val="bg-BG" w:eastAsia="bg-BG"/>
    </w:rPr>
  </w:style>
  <w:style w:type="paragraph" w:styleId="CommentSubject">
    <w:name w:val="annotation subject"/>
    <w:basedOn w:val="CommentText"/>
    <w:next w:val="CommentText"/>
    <w:link w:val="CommentSubjectChar"/>
    <w:uiPriority w:val="99"/>
    <w:semiHidden/>
    <w:unhideWhenUsed/>
    <w:rsid w:val="003F1496"/>
    <w:rPr>
      <w:b/>
      <w:bCs/>
    </w:rPr>
  </w:style>
  <w:style w:type="character" w:customStyle="1" w:styleId="CommentSubjectChar">
    <w:name w:val="Comment Subject Char"/>
    <w:basedOn w:val="CommentTextChar"/>
    <w:link w:val="CommentSubject"/>
    <w:uiPriority w:val="99"/>
    <w:semiHidden/>
    <w:rsid w:val="003F1496"/>
    <w:rPr>
      <w:rFonts w:eastAsia="Times New Roman" w:cs="Times New Roman"/>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3F1496"/>
    <w:pPr>
      <w:keepLines/>
      <w:tabs>
        <w:tab w:val="left" w:pos="709"/>
      </w:tabs>
      <w:spacing w:before="120"/>
      <w:jc w:val="both"/>
    </w:pPr>
    <w:rPr>
      <w:rFonts w:ascii="Tahoma" w:hAnsi="Tahoma"/>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3F1496"/>
    <w:pPr>
      <w:keepLines/>
      <w:tabs>
        <w:tab w:val="left" w:pos="709"/>
      </w:tabs>
      <w:spacing w:before="120"/>
      <w:jc w:val="both"/>
    </w:pPr>
    <w:rPr>
      <w:rFonts w:ascii="Tahoma" w:hAnsi="Tahoma"/>
      <w:lang w:val="pl-PL" w:eastAsia="pl-PL"/>
    </w:rPr>
  </w:style>
  <w:style w:type="paragraph" w:styleId="NormalWeb">
    <w:name w:val="Normal (Web)"/>
    <w:basedOn w:val="Normal"/>
    <w:uiPriority w:val="99"/>
    <w:semiHidden/>
    <w:unhideWhenUsed/>
    <w:rsid w:val="003F1496"/>
    <w:pPr>
      <w:ind w:firstLine="990"/>
    </w:pPr>
    <w:rPr>
      <w:color w:val="000000"/>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3F1496"/>
    <w:pPr>
      <w:keepLines/>
      <w:tabs>
        <w:tab w:val="left" w:pos="709"/>
      </w:tabs>
      <w:spacing w:before="120"/>
      <w:jc w:val="both"/>
    </w:pPr>
    <w:rPr>
      <w:rFonts w:ascii="Tahoma" w:hAnsi="Tahoma"/>
      <w:lang w:val="pl-PL" w:eastAsia="pl-PL"/>
    </w:rPr>
  </w:style>
  <w:style w:type="paragraph" w:styleId="Revision">
    <w:name w:val="Revision"/>
    <w:hidden/>
    <w:uiPriority w:val="99"/>
    <w:rsid w:val="003F1496"/>
    <w:pPr>
      <w:spacing w:before="100" w:after="200" w:line="276" w:lineRule="auto"/>
    </w:pPr>
    <w:rPr>
      <w:rFonts w:ascii="Calibri" w:eastAsia="Times New Roman" w:hAnsi="Calibri" w:cs="Times New Roman"/>
      <w:sz w:val="22"/>
      <w:szCs w:val="22"/>
      <w:lang w:val="bg-BG" w:eastAsia="en-US"/>
    </w:rPr>
  </w:style>
  <w:style w:type="paragraph" w:styleId="TOCHeading">
    <w:name w:val="TOC Heading"/>
    <w:basedOn w:val="Heading1"/>
    <w:next w:val="Normal"/>
    <w:uiPriority w:val="39"/>
    <w:unhideWhenUsed/>
    <w:qFormat/>
    <w:rsid w:val="003F1496"/>
    <w:pPr>
      <w:outlineLvl w:val="9"/>
    </w:pPr>
  </w:style>
  <w:style w:type="paragraph" w:styleId="TOC2">
    <w:name w:val="toc 2"/>
    <w:basedOn w:val="Normal"/>
    <w:next w:val="Normal"/>
    <w:autoRedefine/>
    <w:uiPriority w:val="39"/>
    <w:unhideWhenUsed/>
    <w:rsid w:val="00060E40"/>
    <w:pPr>
      <w:keepLines/>
      <w:tabs>
        <w:tab w:val="right" w:leader="dot" w:pos="9346"/>
      </w:tabs>
      <w:spacing w:before="120" w:after="100" w:line="276" w:lineRule="auto"/>
      <w:ind w:left="220"/>
      <w:jc w:val="both"/>
    </w:pPr>
    <w:rPr>
      <w:rFonts w:ascii="Verdana" w:hAnsi="Verdana"/>
      <w:sz w:val="20"/>
      <w:szCs w:val="20"/>
    </w:rPr>
  </w:style>
  <w:style w:type="paragraph" w:styleId="TOC3">
    <w:name w:val="toc 3"/>
    <w:basedOn w:val="Normal"/>
    <w:next w:val="Normal"/>
    <w:autoRedefine/>
    <w:uiPriority w:val="39"/>
    <w:unhideWhenUsed/>
    <w:rsid w:val="00242C48"/>
    <w:pPr>
      <w:keepLines/>
      <w:tabs>
        <w:tab w:val="right" w:leader="dot" w:pos="9060"/>
      </w:tabs>
      <w:spacing w:before="120" w:after="100" w:line="276" w:lineRule="auto"/>
      <w:ind w:left="440"/>
      <w:jc w:val="both"/>
    </w:pPr>
    <w:rPr>
      <w:rFonts w:ascii="Verdana" w:hAnsi="Verdana"/>
      <w:sz w:val="20"/>
      <w:szCs w:val="20"/>
    </w:rPr>
  </w:style>
  <w:style w:type="paragraph" w:customStyle="1" w:styleId="CharChar">
    <w:name w:val="Char Char"/>
    <w:basedOn w:val="Normal"/>
    <w:rsid w:val="003F1496"/>
    <w:pPr>
      <w:keepLines/>
      <w:tabs>
        <w:tab w:val="left" w:pos="709"/>
      </w:tabs>
      <w:spacing w:before="120"/>
      <w:jc w:val="both"/>
    </w:pPr>
    <w:rPr>
      <w:rFonts w:ascii="Tahoma" w:hAnsi="Tahoma"/>
      <w:lang w:val="pl-PL" w:eastAsia="pl-PL"/>
    </w:rPr>
  </w:style>
  <w:style w:type="paragraph" w:customStyle="1" w:styleId="Default">
    <w:name w:val="Default"/>
    <w:rsid w:val="003F1496"/>
    <w:pPr>
      <w:autoSpaceDE w:val="0"/>
      <w:autoSpaceDN w:val="0"/>
      <w:adjustRightInd w:val="0"/>
      <w:spacing w:before="100" w:after="200" w:line="276" w:lineRule="auto"/>
    </w:pPr>
    <w:rPr>
      <w:rFonts w:ascii="Times New Roman" w:eastAsia="Times New Roman" w:hAnsi="Times New Roman" w:cs="Times New Roman"/>
      <w:color w:val="000000"/>
      <w:sz w:val="24"/>
      <w:szCs w:val="24"/>
      <w:lang w:val="bg-BG" w:eastAsia="en-US"/>
    </w:rPr>
  </w:style>
  <w:style w:type="character" w:customStyle="1" w:styleId="msoins0">
    <w:name w:val="msoins"/>
    <w:basedOn w:val="DefaultParagraphFont"/>
    <w:rsid w:val="003F1496"/>
  </w:style>
  <w:style w:type="character" w:customStyle="1" w:styleId="msodel0">
    <w:name w:val="msodel"/>
    <w:basedOn w:val="DefaultParagraphFont"/>
    <w:rsid w:val="003F1496"/>
  </w:style>
  <w:style w:type="character" w:styleId="FollowedHyperlink">
    <w:name w:val="FollowedHyperlink"/>
    <w:uiPriority w:val="99"/>
    <w:semiHidden/>
    <w:unhideWhenUsed/>
    <w:rsid w:val="003F1496"/>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3F1496"/>
    <w:pPr>
      <w:keepLines/>
      <w:tabs>
        <w:tab w:val="left" w:pos="709"/>
      </w:tabs>
      <w:spacing w:before="120"/>
      <w:jc w:val="both"/>
    </w:pPr>
    <w:rPr>
      <w:rFonts w:ascii="Tahoma" w:hAnsi="Tahoma"/>
      <w:lang w:val="pl-PL" w:eastAsia="pl-PL"/>
    </w:rPr>
  </w:style>
  <w:style w:type="table" w:customStyle="1" w:styleId="TableGrid1">
    <w:name w:val="Table Grid1"/>
    <w:basedOn w:val="TableNormal"/>
    <w:next w:val="TableGrid"/>
    <w:rsid w:val="003F1496"/>
    <w:pPr>
      <w:spacing w:line="240" w:lineRule="auto"/>
    </w:pPr>
    <w:rPr>
      <w:rFonts w:ascii="Times New Roman" w:eastAsia="Times New Roman" w:hAnsi="Times New Roman" w:cs="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3F1496"/>
    <w:pPr>
      <w:keepLines/>
      <w:tabs>
        <w:tab w:val="left" w:pos="709"/>
      </w:tabs>
      <w:spacing w:before="120"/>
      <w:jc w:val="both"/>
    </w:pPr>
    <w:rPr>
      <w:rFonts w:ascii="Tahoma" w:hAnsi="Tahoma"/>
      <w:lang w:val="pl-PL" w:eastAsia="pl-PL"/>
    </w:rPr>
  </w:style>
  <w:style w:type="table" w:customStyle="1" w:styleId="TableGrid2">
    <w:name w:val="Table Grid2"/>
    <w:basedOn w:val="TableNormal"/>
    <w:next w:val="TableGrid"/>
    <w:uiPriority w:val="39"/>
    <w:rsid w:val="003F1496"/>
    <w:pPr>
      <w:spacing w:line="240" w:lineRule="auto"/>
    </w:pPr>
    <w:rPr>
      <w:rFonts w:ascii="Times New Roman" w:eastAsia="Times New Roman" w:hAnsi="Times New Roman" w:cs="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3F1496"/>
    <w:rPr>
      <w:b/>
      <w:bCs/>
      <w:color w:val="2E74B5"/>
      <w:sz w:val="16"/>
      <w:szCs w:val="16"/>
    </w:rPr>
  </w:style>
  <w:style w:type="paragraph" w:styleId="Title">
    <w:name w:val="Title"/>
    <w:basedOn w:val="Normal"/>
    <w:next w:val="Normal"/>
    <w:link w:val="TitleChar"/>
    <w:uiPriority w:val="10"/>
    <w:qFormat/>
    <w:rsid w:val="003F1496"/>
    <w:pPr>
      <w:keepLines/>
      <w:spacing w:line="276" w:lineRule="auto"/>
      <w:jc w:val="both"/>
    </w:pPr>
    <w:rPr>
      <w:rFonts w:ascii="Calibri Light" w:eastAsia="SimSun" w:hAnsi="Calibri Light"/>
      <w:caps/>
      <w:color w:val="5B9BD5"/>
      <w:spacing w:val="10"/>
      <w:sz w:val="52"/>
      <w:szCs w:val="52"/>
    </w:rPr>
  </w:style>
  <w:style w:type="character" w:customStyle="1" w:styleId="TitleChar">
    <w:name w:val="Title Char"/>
    <w:basedOn w:val="DefaultParagraphFont"/>
    <w:link w:val="Title"/>
    <w:uiPriority w:val="10"/>
    <w:rsid w:val="003F1496"/>
    <w:rPr>
      <w:rFonts w:ascii="Calibri Light" w:eastAsia="SimSun" w:hAnsi="Calibri Light" w:cs="Times New Roman"/>
      <w:caps/>
      <w:color w:val="5B9BD5"/>
      <w:spacing w:val="10"/>
      <w:sz w:val="52"/>
      <w:szCs w:val="52"/>
      <w:lang w:val="bg-BG" w:eastAsia="bg-BG"/>
    </w:rPr>
  </w:style>
  <w:style w:type="paragraph" w:styleId="Subtitle">
    <w:name w:val="Subtitle"/>
    <w:basedOn w:val="Normal"/>
    <w:next w:val="Normal"/>
    <w:link w:val="SubtitleChar"/>
    <w:uiPriority w:val="11"/>
    <w:qFormat/>
    <w:rsid w:val="003F1496"/>
    <w:pPr>
      <w:keepLines/>
      <w:spacing w:after="500"/>
      <w:jc w:val="both"/>
    </w:pPr>
    <w:rPr>
      <w:rFonts w:ascii="Verdana" w:hAnsi="Verdana"/>
      <w:caps/>
      <w:color w:val="595959"/>
      <w:spacing w:val="10"/>
      <w:sz w:val="21"/>
      <w:szCs w:val="21"/>
    </w:rPr>
  </w:style>
  <w:style w:type="character" w:customStyle="1" w:styleId="SubtitleChar">
    <w:name w:val="Subtitle Char"/>
    <w:basedOn w:val="DefaultParagraphFont"/>
    <w:link w:val="Subtitle"/>
    <w:uiPriority w:val="11"/>
    <w:rsid w:val="003F1496"/>
    <w:rPr>
      <w:rFonts w:eastAsia="Times New Roman" w:cs="Times New Roman"/>
      <w:caps/>
      <w:color w:val="595959"/>
      <w:spacing w:val="10"/>
      <w:sz w:val="21"/>
      <w:szCs w:val="21"/>
      <w:lang w:val="bg-BG" w:eastAsia="bg-BG"/>
    </w:rPr>
  </w:style>
  <w:style w:type="character" w:styleId="Strong">
    <w:name w:val="Strong"/>
    <w:uiPriority w:val="22"/>
    <w:qFormat/>
    <w:rsid w:val="003F1496"/>
    <w:rPr>
      <w:b/>
      <w:bCs/>
    </w:rPr>
  </w:style>
  <w:style w:type="character" w:styleId="Emphasis">
    <w:name w:val="Emphasis"/>
    <w:uiPriority w:val="20"/>
    <w:qFormat/>
    <w:rsid w:val="003F1496"/>
    <w:rPr>
      <w:caps/>
      <w:color w:val="1F4D78"/>
      <w:spacing w:val="5"/>
    </w:rPr>
  </w:style>
  <w:style w:type="paragraph" w:styleId="NoSpacing">
    <w:name w:val="No Spacing"/>
    <w:uiPriority w:val="1"/>
    <w:qFormat/>
    <w:rsid w:val="003F1496"/>
    <w:pPr>
      <w:spacing w:before="100" w:line="240" w:lineRule="auto"/>
    </w:pPr>
    <w:rPr>
      <w:rFonts w:ascii="Calibri" w:eastAsia="Times New Roman" w:hAnsi="Calibri" w:cs="Times New Roman"/>
      <w:lang w:val="bg-BG" w:eastAsia="bg-BG"/>
    </w:rPr>
  </w:style>
  <w:style w:type="paragraph" w:styleId="Quote">
    <w:name w:val="Quote"/>
    <w:basedOn w:val="Normal"/>
    <w:next w:val="Normal"/>
    <w:link w:val="QuoteChar"/>
    <w:uiPriority w:val="29"/>
    <w:qFormat/>
    <w:rsid w:val="003F1496"/>
    <w:pPr>
      <w:keepLines/>
      <w:spacing w:before="120" w:after="120" w:line="276" w:lineRule="auto"/>
      <w:jc w:val="both"/>
    </w:pPr>
    <w:rPr>
      <w:rFonts w:ascii="Verdana" w:hAnsi="Verdana"/>
      <w:i/>
      <w:iCs/>
    </w:rPr>
  </w:style>
  <w:style w:type="character" w:customStyle="1" w:styleId="QuoteChar">
    <w:name w:val="Quote Char"/>
    <w:basedOn w:val="DefaultParagraphFont"/>
    <w:link w:val="Quote"/>
    <w:uiPriority w:val="29"/>
    <w:rsid w:val="003F1496"/>
    <w:rPr>
      <w:rFonts w:eastAsia="Times New Roman" w:cs="Times New Roman"/>
      <w:i/>
      <w:iCs/>
      <w:sz w:val="24"/>
      <w:szCs w:val="24"/>
      <w:lang w:val="bg-BG" w:eastAsia="bg-BG"/>
    </w:rPr>
  </w:style>
  <w:style w:type="paragraph" w:styleId="IntenseQuote">
    <w:name w:val="Intense Quote"/>
    <w:basedOn w:val="Normal"/>
    <w:next w:val="Normal"/>
    <w:link w:val="IntenseQuoteChar"/>
    <w:uiPriority w:val="30"/>
    <w:qFormat/>
    <w:rsid w:val="003F1496"/>
    <w:pPr>
      <w:keepLines/>
      <w:spacing w:before="240" w:after="240"/>
      <w:ind w:left="1080" w:right="1080"/>
      <w:jc w:val="center"/>
    </w:pPr>
    <w:rPr>
      <w:rFonts w:ascii="Verdana" w:hAnsi="Verdana"/>
      <w:color w:val="5B9BD5"/>
    </w:rPr>
  </w:style>
  <w:style w:type="character" w:customStyle="1" w:styleId="IntenseQuoteChar">
    <w:name w:val="Intense Quote Char"/>
    <w:basedOn w:val="DefaultParagraphFont"/>
    <w:link w:val="IntenseQuote"/>
    <w:uiPriority w:val="30"/>
    <w:rsid w:val="003F1496"/>
    <w:rPr>
      <w:rFonts w:eastAsia="Times New Roman" w:cs="Times New Roman"/>
      <w:color w:val="5B9BD5"/>
      <w:sz w:val="24"/>
      <w:szCs w:val="24"/>
      <w:lang w:val="bg-BG" w:eastAsia="bg-BG"/>
    </w:rPr>
  </w:style>
  <w:style w:type="character" w:styleId="SubtleEmphasis">
    <w:name w:val="Subtle Emphasis"/>
    <w:uiPriority w:val="19"/>
    <w:qFormat/>
    <w:rsid w:val="003F1496"/>
    <w:rPr>
      <w:i/>
      <w:iCs/>
      <w:color w:val="1F4D78"/>
    </w:rPr>
  </w:style>
  <w:style w:type="character" w:styleId="IntenseEmphasis">
    <w:name w:val="Intense Emphasis"/>
    <w:uiPriority w:val="21"/>
    <w:qFormat/>
    <w:rsid w:val="003F1496"/>
    <w:rPr>
      <w:b/>
      <w:bCs/>
      <w:caps/>
      <w:color w:val="1F4D78"/>
      <w:spacing w:val="10"/>
    </w:rPr>
  </w:style>
  <w:style w:type="character" w:styleId="SubtleReference">
    <w:name w:val="Subtle Reference"/>
    <w:uiPriority w:val="31"/>
    <w:qFormat/>
    <w:rsid w:val="003F1496"/>
    <w:rPr>
      <w:b/>
      <w:bCs/>
      <w:color w:val="5B9BD5"/>
    </w:rPr>
  </w:style>
  <w:style w:type="character" w:styleId="IntenseReference">
    <w:name w:val="Intense Reference"/>
    <w:uiPriority w:val="32"/>
    <w:qFormat/>
    <w:rsid w:val="003F1496"/>
    <w:rPr>
      <w:b/>
      <w:bCs/>
      <w:i/>
      <w:iCs/>
      <w:caps/>
      <w:color w:val="5B9BD5"/>
    </w:rPr>
  </w:style>
  <w:style w:type="character" w:styleId="BookTitle">
    <w:name w:val="Book Title"/>
    <w:uiPriority w:val="33"/>
    <w:qFormat/>
    <w:rsid w:val="003F1496"/>
    <w:rPr>
      <w:b/>
      <w:bCs/>
      <w:i/>
      <w:iCs/>
      <w:spacing w:val="0"/>
    </w:rPr>
  </w:style>
  <w:style w:type="numbering" w:customStyle="1" w:styleId="Style1">
    <w:name w:val="Style1"/>
    <w:uiPriority w:val="99"/>
    <w:rsid w:val="003F1496"/>
    <w:pPr>
      <w:numPr>
        <w:numId w:val="9"/>
      </w:numPr>
    </w:pPr>
  </w:style>
  <w:style w:type="character" w:customStyle="1" w:styleId="markedcontent">
    <w:name w:val="markedcontent"/>
    <w:basedOn w:val="DefaultParagraphFont"/>
    <w:rsid w:val="003F1496"/>
  </w:style>
  <w:style w:type="character" w:customStyle="1" w:styleId="UnresolvedMention1">
    <w:name w:val="Unresolved Mention1"/>
    <w:basedOn w:val="DefaultParagraphFont"/>
    <w:semiHidden/>
    <w:rsid w:val="002B0C5E"/>
    <w:rPr>
      <w:color w:val="605E5C"/>
      <w:shd w:val="clear" w:color="auto" w:fill="E1DFDD"/>
    </w:rPr>
  </w:style>
  <w:style w:type="character" w:customStyle="1" w:styleId="fontstyle01">
    <w:name w:val="fontstyle01"/>
    <w:basedOn w:val="DefaultParagraphFont"/>
    <w:rsid w:val="00BF6236"/>
    <w:rPr>
      <w:rFonts w:ascii="TimesNewRomanPSMT" w:hAnsi="TimesNewRomanPSMT" w:hint="default"/>
      <w:b w:val="0"/>
      <w:bCs w:val="0"/>
      <w:i w:val="0"/>
      <w:iCs w:val="0"/>
      <w:color w:val="231F20"/>
      <w:sz w:val="20"/>
      <w:szCs w:val="20"/>
    </w:rPr>
  </w:style>
  <w:style w:type="table" w:customStyle="1" w:styleId="XETable1">
    <w:name w:val="XE Table1"/>
    <w:basedOn w:val="TableNormal"/>
    <w:next w:val="TableGrid"/>
    <w:uiPriority w:val="39"/>
    <w:rsid w:val="00472F19"/>
    <w:pPr>
      <w:spacing w:line="240" w:lineRule="auto"/>
    </w:pPr>
    <w:rPr>
      <w:rFonts w:asciiTheme="minorHAnsi" w:eastAsiaTheme="minorEastAsia" w:hAnsiTheme="minorHAnsi" w:cstheme="minorBidi"/>
      <w:sz w:val="18"/>
      <w:szCs w:val="22"/>
      <w:lang w:val="en-GB" w:eastAsia="zh-TW"/>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57" w:type="dxa"/>
        <w:left w:w="113" w:type="dxa"/>
        <w:bottom w:w="57" w:type="dxa"/>
        <w:right w:w="113" w:type="dxa"/>
      </w:tblCellMar>
    </w:tblPr>
    <w:tblStylePr w:type="firstRow">
      <w:rPr>
        <w:b/>
        <w:color w:val="FFFFFF" w:themeColor="background1"/>
      </w:rPr>
      <w:tblPr/>
      <w:tcPr>
        <w:tcBorders>
          <w:insideH w:val="single" w:sz="4" w:space="0" w:color="FFFFFF" w:themeColor="background1"/>
          <w:insideV w:val="single" w:sz="4" w:space="0" w:color="FFFFFF" w:themeColor="background1"/>
        </w:tcBorders>
        <w:shd w:val="clear" w:color="auto" w:fill="4F81BD" w:themeFill="accent1"/>
      </w:tcPr>
    </w:tblStylePr>
  </w:style>
  <w:style w:type="character" w:customStyle="1" w:styleId="UnresolvedMention2">
    <w:name w:val="Unresolved Mention2"/>
    <w:basedOn w:val="DefaultParagraphFont"/>
    <w:uiPriority w:val="99"/>
    <w:semiHidden/>
    <w:unhideWhenUsed/>
    <w:rsid w:val="00E20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547596">
      <w:bodyDiv w:val="1"/>
      <w:marLeft w:val="0"/>
      <w:marRight w:val="0"/>
      <w:marTop w:val="0"/>
      <w:marBottom w:val="0"/>
      <w:divBdr>
        <w:top w:val="none" w:sz="0" w:space="0" w:color="auto"/>
        <w:left w:val="none" w:sz="0" w:space="0" w:color="auto"/>
        <w:bottom w:val="none" w:sz="0" w:space="0" w:color="auto"/>
        <w:right w:val="none" w:sz="0" w:space="0" w:color="auto"/>
      </w:divBdr>
    </w:div>
    <w:div w:id="1196969540">
      <w:bodyDiv w:val="1"/>
      <w:marLeft w:val="0"/>
      <w:marRight w:val="0"/>
      <w:marTop w:val="0"/>
      <w:marBottom w:val="0"/>
      <w:divBdr>
        <w:top w:val="none" w:sz="0" w:space="0" w:color="auto"/>
        <w:left w:val="none" w:sz="0" w:space="0" w:color="auto"/>
        <w:bottom w:val="none" w:sz="0" w:space="0" w:color="auto"/>
        <w:right w:val="none" w:sz="0" w:space="0" w:color="auto"/>
      </w:divBdr>
    </w:div>
    <w:div w:id="143898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eumis2020.government.bg/bg/s/800c457d-e8be-4421-8ed9-9e78d0a75c39/Procedure/Active"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eumis2020.government.bg/bg/s/800c457d-e8be-4421-8ed9-9e78d0a75c39/Procedure/Active"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finance.ec.europa.eu/eu-and-world/sanctions-restrictive-measures/sanctions-adopted-following-russias-military-aggression-against-ukraine_en?prefLang=bg"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48711-A0BD-486B-A838-9BB55207E9B6}">
  <ds:schemaRefs>
    <ds:schemaRef ds:uri="http://schemas.openxmlformats.org/officeDocument/2006/bibliography"/>
  </ds:schemaRefs>
</ds:datastoreItem>
</file>

<file path=docMetadata/LabelInfo.xml><?xml version="1.0" encoding="utf-8"?>
<clbl:labelList xmlns:clbl="http://schemas.microsoft.com/office/2020/mipLabelMetadata">
  <clbl:label id="{4891b122-2285-42c8-8e07-0f736e4bfda6}" enabled="0" method="" siteId="{4891b122-2285-42c8-8e07-0f736e4bfda6}" removed="1"/>
</clbl:labelList>
</file>

<file path=docProps/app.xml><?xml version="1.0" encoding="utf-8"?>
<Properties xmlns="http://schemas.openxmlformats.org/officeDocument/2006/extended-properties" xmlns:vt="http://schemas.openxmlformats.org/officeDocument/2006/docPropsVTypes">
  <Template>Normal.dotm</Template>
  <TotalTime>37</TotalTime>
  <Pages>52</Pages>
  <Words>15782</Words>
  <Characters>89963</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105534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Schoenherr Rechtsanwaelte</dc:creator>
  <cp:keywords/>
  <dc:description/>
  <cp:lastModifiedBy>ifilipova</cp:lastModifiedBy>
  <cp:revision>7</cp:revision>
  <cp:lastPrinted>2024-06-21T13:40:00Z</cp:lastPrinted>
  <dcterms:created xsi:type="dcterms:W3CDTF">2024-06-20T13:20:00Z</dcterms:created>
  <dcterms:modified xsi:type="dcterms:W3CDTF">2024-06-25T13:12:00Z</dcterms:modified>
</cp:coreProperties>
</file>